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TEAMS EVIDENCE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Nova - Meeting Chat and Post-Meeting Discussion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Synthetic chat evidence created during and after the requirements workshop.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CHANNEL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Meeting chat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PERIOD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26-27 Aug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Mixed authority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TRUST RULE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channel does not determine authority. Check the author, timestamp, wording, source and decision rights.</w:t>
            </w:r>
          </w:p>
        </w:tc>
      </w:tr>
    </w:tbl>
    <w:p>
      <w:pPr>
        <w:spacing w:after="20"/>
      </w:pPr>
    </w:p>
    <w:p>
      <w:pPr>
        <w:pStyle w:val="Heading1"/>
      </w:pPr>
      <w:r>
        <w:t>Messages during the meeting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Timestamp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Author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09:15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Omar Rahman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Security policy SEC-AC-004, section 6.2: privileged interactive sessions must lock after 15 minutes of inactivity.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09:18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I will share the approved policy after the meeting. Please do not use the legacy three-year instruction.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09:23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Eva Sorensen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Adding AI-based approval recommendation to the parking lot.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09:29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Leo Martins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Correction to my spoken statement: ServiceNow and GitHub have supported interfaces. FinanceHub real-time integration is not confirmed.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09:36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Anna Larsen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Service Desk can own first-line completeness checks, but not security approval.</w:t>
            </w:r>
          </w:p>
        </w:tc>
      </w:tr>
    </w:tbl>
    <w:p>
      <w:pPr>
        <w:pStyle w:val="Heading1"/>
      </w:pPr>
      <w:r>
        <w:t>Post-meeting discussion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Timestamp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Author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15:10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Attached current approved policy SEC-AC-004 v4.2. It requires seven years for access-decision evidence. Rejected-request retention still needs Legal confirmation.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26 Aug 16:02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Omar Rahman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Security confirms 15 minutes for privileged sessions. Thirty minutes for standard sessions does not conflict with SEC-AC-004.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08:40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Sponsor decision: MVP will use 15 minutes for privileged sessions and 30 minutes for standard sessions. Omar owns validation by 4 September.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08:43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Sponsor decision: AI approval recommendations remain outside the MVP. The five pilot applications remain in scope for discovery; feasibility can differ by application.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09:05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Confirmed: update the existing RetentionYears field from 3 to 7. Do not change the requirement wording, owner, status or acceptance criteria. Rejected requests remain an open question.</w:t>
            </w:r>
          </w:p>
        </w:tc>
      </w:tr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09:18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Anna Larsen</w:t>
            </w:r>
          </w:p>
        </w:tc>
        <w:tc>
          <w:tcPr>
            <w:tcW w:type="dxa" w:w="603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I still need the sponsor to decide whether the one-business-day target applies only to complete standard requests.</w:t>
            </w:r>
          </w:p>
        </w:tc>
      </w:tr>
    </w:tbl>
    <w:p>
      <w:pPr>
        <w:pStyle w:val="Heading1"/>
      </w:pPr>
      <w:r>
        <w:t>Authority map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Author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 confirm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MVP scope and sponsor decisions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Omar Rahman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Security interpretation and security validation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Approved retention policy interpretation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Anna Larsen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Service Desk operating practice, not security policy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Leo Martins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Technical feasibility assessment, not application-owner approval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Eva Sorensen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HR needs and data availability, not MVP scope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Teams chat and follow-up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