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00"/>
      </w:pPr>
      <w:r>
        <w:rPr>
          <w:rFonts w:ascii="Aptos" w:hAnsi="Aptos"/>
          <w:b/>
          <w:i w:val="0"/>
          <w:color w:val="2563EB"/>
          <w:sz w:val="18"/>
        </w:rPr>
        <w:t>LAB 6 SOURCE FILE</w:t>
      </w:r>
    </w:p>
    <w:p>
      <w:pPr>
        <w:spacing w:after="100"/>
      </w:pPr>
      <w:r>
        <w:rPr>
          <w:rFonts w:ascii="Aptos" w:hAnsi="Aptos"/>
          <w:b/>
          <w:i w:val="0"/>
          <w:color w:val="102A43"/>
          <w:sz w:val="52"/>
        </w:rPr>
        <w:t>Project Northstar - Readiness Review Notes</w:t>
      </w:r>
    </w:p>
    <w:p>
      <w:pPr>
        <w:spacing w:after="300"/>
      </w:pPr>
      <w:r>
        <w:rPr>
          <w:rFonts w:ascii="Aptos" w:hAnsi="Aptos"/>
          <w:b w:val="0"/>
          <w:i w:val="0"/>
          <w:color w:val="486581"/>
          <w:sz w:val="25"/>
        </w:rPr>
        <w:t>Meeting evidence containing facts, proposals, actions and unresolved items</w:t>
      </w:r>
    </w:p>
    <w:tbl>
      <w:tblPr>
        <w:tblW w:type="dxa" w:w="9820"/>
        <w:jc w:val="left"/>
        <w:tblLayout w:type="fixed"/>
        <w:tblLook w:firstColumn="1" w:firstRow="1" w:lastColumn="0" w:lastRow="0" w:noHBand="0" w:noVBand="1" w:val="04A0"/>
        <w:tblInd w:w="120" w:type="dxa"/>
        <w:tblBorders>
          <w:top w:val="single" w:sz="6" w:color="C9D9F2"/>
          <w:left w:val="single" w:sz="6" w:color="C9D9F2"/>
          <w:bottom w:val="single" w:sz="6" w:color="C9D9F2"/>
          <w:right w:val="single" w:sz="6" w:color="C9D9F2"/>
          <w:insideH w:val="single" w:sz="6" w:color="C9D9F2"/>
          <w:insideV w:val="single" w:sz="6" w:color="C9D9F2"/>
        </w:tblBorders>
      </w:tblPr>
      <w:tblGrid>
        <w:gridCol w:w="3293"/>
        <w:gridCol w:w="3293"/>
        <w:gridCol w:w="3293"/>
      </w:tblGrid>
      <w:tr>
        <w:tc>
          <w:tcPr>
            <w:tcW w:type="dxa" w:w="3274"/>
            <w:tcMar>
              <w:top w:w="80" w:type="dxa"/>
              <w:start w:w="120" w:type="dxa"/>
              <w:bottom w:w="80" w:type="dxa"/>
              <w:end w:w="120" w:type="dxa"/>
            </w:tcMar>
            <w:shd w:fill="EAF2FF"/>
          </w:tcPr>
          <w:p>
            <w:pPr>
              <w:jc w:val="center"/>
            </w:pPr>
            <w:r>
              <w:rPr>
                <w:rFonts w:ascii="Aptos" w:hAnsi="Aptos"/>
                <w:b/>
                <w:i w:val="0"/>
                <w:color w:val="2563EB"/>
                <w:sz w:val="16"/>
              </w:rPr>
              <w:t>MEETING</w:t>
              <w:br/>
            </w:r>
            <w:r>
              <w:rPr>
                <w:rFonts w:ascii="Aptos" w:hAnsi="Aptos"/>
                <w:b/>
                <w:i w:val="0"/>
                <w:color w:val="102A43"/>
                <w:sz w:val="20"/>
              </w:rPr>
              <w:t>25 August 2026</w:t>
            </w:r>
          </w:p>
        </w:tc>
        <w:tc>
          <w:tcPr>
            <w:tcW w:type="dxa" w:w="3274"/>
            <w:tcMar>
              <w:top w:w="80" w:type="dxa"/>
              <w:start w:w="120" w:type="dxa"/>
              <w:bottom w:w="80" w:type="dxa"/>
              <w:end w:w="120" w:type="dxa"/>
            </w:tcMar>
            <w:shd w:fill="EAF2FF"/>
          </w:tcPr>
          <w:p>
            <w:pPr>
              <w:jc w:val="center"/>
            </w:pPr>
            <w:r>
              <w:rPr>
                <w:rFonts w:ascii="Aptos" w:hAnsi="Aptos"/>
                <w:b/>
                <w:i w:val="0"/>
                <w:color w:val="2563EB"/>
                <w:sz w:val="16"/>
              </w:rPr>
              <w:t>DURATION</w:t>
              <w:br/>
            </w:r>
            <w:r>
              <w:rPr>
                <w:rFonts w:ascii="Aptos" w:hAnsi="Aptos"/>
                <w:b/>
                <w:i w:val="0"/>
                <w:color w:val="102A43"/>
                <w:sz w:val="20"/>
              </w:rPr>
              <w:t>45 minutes</w:t>
            </w:r>
          </w:p>
        </w:tc>
        <w:tc>
          <w:tcPr>
            <w:tcW w:type="dxa" w:w="3274"/>
            <w:tcMar>
              <w:top w:w="80" w:type="dxa"/>
              <w:start w:w="120" w:type="dxa"/>
              <w:bottom w:w="80" w:type="dxa"/>
              <w:end w:w="120" w:type="dxa"/>
            </w:tcMar>
            <w:shd w:fill="EAF2FF"/>
          </w:tcPr>
          <w:p>
            <w:pPr>
              <w:jc w:val="center"/>
            </w:pPr>
            <w:r>
              <w:rPr>
                <w:rFonts w:ascii="Aptos" w:hAnsi="Aptos"/>
                <w:b/>
                <w:i w:val="0"/>
                <w:color w:val="2563EB"/>
                <w:sz w:val="16"/>
              </w:rPr>
              <w:t>STATUS</w:t>
              <w:br/>
            </w:r>
            <w:r>
              <w:rPr>
                <w:rFonts w:ascii="Aptos" w:hAnsi="Aptos"/>
                <w:b/>
                <w:i w:val="0"/>
                <w:color w:val="102A43"/>
                <w:sz w:val="20"/>
              </w:rPr>
              <w:t>Draft notes - not an approval record</w:t>
            </w:r>
          </w:p>
        </w:tc>
      </w:tr>
    </w:tbl>
    <w:p>
      <w:pPr>
        <w:spacing w:after="40"/>
      </w:pPr>
    </w:p>
    <w:tbl>
      <w:tblPr>
        <w:tblW w:type="dxa" w:w="9820"/>
        <w:jc w:val="left"/>
        <w:tblLayout w:type="fixed"/>
        <w:tblLook w:firstColumn="1" w:firstRow="1" w:lastColumn="0" w:lastRow="0" w:noHBand="0" w:noVBand="1" w:val="04A0"/>
        <w:tblInd w:w="120" w:type="dxa"/>
        <w:tblBorders>
          <w:top w:val="single" w:sz="6" w:color="FFF5D6"/>
          <w:left w:val="single" w:sz="6" w:color="FFF5D6"/>
          <w:bottom w:val="single" w:sz="6" w:color="FFF5D6"/>
          <w:right w:val="single" w:sz="6" w:color="FFF5D6"/>
          <w:insideH w:val="single" w:sz="6" w:color="FFF5D6"/>
          <w:insideV w:val="single" w:sz="6" w:color="FFF5D6"/>
        </w:tblBorders>
      </w:tblPr>
      <w:tblGrid>
        <w:gridCol w:w="9878"/>
      </w:tblGrid>
      <w:tr>
        <w:tc>
          <w:tcPr>
            <w:tcW w:type="dxa" w:w="9821"/>
            <w:tcMar>
              <w:top w:w="80" w:type="dxa"/>
              <w:start w:w="120" w:type="dxa"/>
              <w:bottom w:w="80" w:type="dxa"/>
              <w:end w:w="120" w:type="dxa"/>
            </w:tcMar>
            <w:shd w:fill="FFF5D6"/>
          </w:tcPr>
          <w:p>
            <w:r>
              <w:rPr>
                <w:rFonts w:ascii="Aptos" w:hAnsi="Aptos"/>
                <w:b/>
                <w:i w:val="0"/>
                <w:color w:val="C47F00"/>
                <w:sz w:val="17"/>
              </w:rPr>
              <w:t>EVIDENCE BOUNDARY</w:t>
              <w:br/>
            </w:r>
            <w:r>
              <w:rPr>
                <w:rFonts w:ascii="Aptos" w:hAnsi="Aptos"/>
                <w:b w:val="0"/>
                <w:i w:val="0"/>
                <w:color w:val="1F2933"/>
                <w:sz w:val="20"/>
              </w:rPr>
              <w:t>A comment in meeting notes is not automatically a confirmed decision. Preserve the speaker, status and uncertainty.</w:t>
            </w:r>
          </w:p>
        </w:tc>
      </w:tr>
    </w:tbl>
    <w:p>
      <w:pPr>
        <w:spacing w:after="20"/>
      </w:pPr>
    </w:p>
    <w:p>
      <w:pPr>
        <w:pStyle w:val="Heading1"/>
      </w:pPr>
      <w:r>
        <w:t>Participants</w:t>
      </w:r>
    </w:p>
    <w:p>
      <w:pPr>
        <w:pStyle w:val="ListBullet"/>
      </w:pPr>
      <w:r>
        <w:t>Hanna Reed - Programme Manager (chair)</w:t>
      </w:r>
    </w:p>
    <w:p>
      <w:pPr>
        <w:pStyle w:val="ListBullet"/>
      </w:pPr>
      <w:r>
        <w:t>Priya Shah - Security Lead</w:t>
      </w:r>
    </w:p>
    <w:p>
      <w:pPr>
        <w:pStyle w:val="ListBullet"/>
      </w:pPr>
      <w:r>
        <w:t>Mark Jensen - Technical Lead</w:t>
      </w:r>
    </w:p>
    <w:p>
      <w:pPr>
        <w:pStyle w:val="ListBullet"/>
      </w:pPr>
      <w:r>
        <w:t>Sofia Lind - Operations Readiness Lead</w:t>
      </w:r>
    </w:p>
    <w:p>
      <w:pPr>
        <w:pStyle w:val="ListBullet"/>
      </w:pPr>
      <w:r>
        <w:t>Daniel Weber - Vendor Delivery Lead</w:t>
      </w:r>
    </w:p>
    <w:p>
      <w:pPr>
        <w:pStyle w:val="ListBullet"/>
      </w:pPr>
      <w:r>
        <w:t>Elena Novak - Business Owner</w:t>
      </w:r>
    </w:p>
    <w:p>
      <w:pPr>
        <w:pStyle w:val="Heading1"/>
      </w:pPr>
      <w:r>
        <w:t>Discussion record</w:t>
      </w:r>
    </w:p>
    <w:p>
      <w:pPr>
        <w:pStyle w:val="Heading2"/>
      </w:pPr>
      <w:r>
        <w:t>Security readiness</w:t>
      </w:r>
    </w:p>
    <w:p>
      <w:r>
        <w:t>Priya confirmed that the penetration retest is booked for 10 September. External supplier access is not approved before the retest. She proposed allowing internal UAT and disabling external access until approval.</w:t>
      </w:r>
    </w:p>
    <w:p>
      <w:pPr>
        <w:pStyle w:val="Heading2"/>
      </w:pPr>
      <w:r>
        <w:t>UAT status</w:t>
      </w:r>
    </w:p>
    <w:p>
      <w:r>
        <w:t>Mark reported 184 of 200 planned tests complete. Four Severity 1 defects remain open. Daniel expects fixes by 8 September, but this date is a vendor forecast, not a confirmed closure date.</w:t>
      </w:r>
    </w:p>
    <w:p>
      <w:r>
        <w:br w:type="page"/>
      </w:r>
    </w:p>
    <w:p>
      <w:pPr>
        <w:pStyle w:val="Heading2"/>
      </w:pPr>
      <w:r>
        <w:t>Migration</w:t>
      </w:r>
    </w:p>
    <w:p>
      <w:r>
        <w:t>The readiness tracker shows 215 of 250 supplier records validated. Elena said Procurement can complete the remainder before launch. No accountable owner was confirmed for final sign-off.</w:t>
      </w:r>
    </w:p>
    <w:p>
      <w:pPr>
        <w:pStyle w:val="Heading2"/>
      </w:pPr>
      <w:r>
        <w:t>Training</w:t>
      </w:r>
    </w:p>
    <w:p>
      <w:r>
        <w:t>Sofia reported 36 of 50 pilot users trained. She stated that Operations supports a conditional launch only if at least 90% complete training and the support owner is named.</w:t>
      </w:r>
    </w:p>
    <w:p>
      <w:pPr>
        <w:pStyle w:val="Heading2"/>
      </w:pPr>
      <w:r>
        <w:t>Launch date</w:t>
      </w:r>
    </w:p>
    <w:p>
      <w:r>
        <w:t>Daniel suggested 29 September because the original 15 September date leaves no contingency after the security retest. The meeting did not approve this date.</w:t>
      </w:r>
    </w:p>
    <w:p>
      <w:pPr>
        <w:pStyle w:val="Heading2"/>
      </w:pPr>
      <w:r>
        <w:t>Cost of delay</w:t>
      </w:r>
    </w:p>
    <w:p>
      <w:r>
        <w:t>Daniel stated that each week of delay could cost EUR 35,000. Finance was not present and no calculation was supplied.</w:t>
      </w:r>
    </w:p>
    <w:p>
      <w:pPr>
        <w:pStyle w:val="Heading2"/>
      </w:pPr>
      <w:r>
        <w:t>Proposed outcome</w:t>
      </w:r>
    </w:p>
    <w:p>
      <w:r>
        <w:t>Hanna summarised a possible Conditional Go: revise the date, keep external access disabled until security approval, close all Severity 1 defects, reach the training threshold and confirm the migration sign-off owner. The Steering Committee has not approved this proposal.</w:t>
      </w:r>
    </w:p>
    <w:p>
      <w:pPr>
        <w:pStyle w:val="Heading1"/>
      </w:pPr>
      <w:r>
        <w:t>Actions recorded</w:t>
      </w:r>
    </w:p>
    <w:tbl>
      <w:tblPr>
        <w:tblW w:type="dxa" w:w="9820"/>
        <w:jc w:val="left"/>
        <w:tblLayout w:type="fixed"/>
        <w:tblLook w:firstColumn="1" w:firstRow="1" w:lastColumn="0" w:lastRow="0" w:noHBand="0" w:noVBand="1" w:val="04A0"/>
        <w:tblInd w:w="120" w:type="dxa"/>
        <w:tblBorders>
          <w:top w:val="single" w:sz="6" w:color="D8E1EA"/>
          <w:left w:val="single" w:sz="6" w:color="D8E1EA"/>
          <w:bottom w:val="single" w:sz="6" w:color="D8E1EA"/>
          <w:right w:val="single" w:sz="6" w:color="D8E1EA"/>
          <w:insideH w:val="single" w:sz="6" w:color="D8E1EA"/>
          <w:insideV w:val="single" w:sz="6" w:color="D8E1EA"/>
        </w:tblBorders>
      </w:tblPr>
      <w:tblGrid>
        <w:gridCol w:w="2469"/>
        <w:gridCol w:w="2469"/>
        <w:gridCol w:w="2469"/>
        <w:gridCol w:w="2469"/>
      </w:tblGrid>
      <w:tr>
        <w:trPr>
          <w:tblHeader w:val="true"/>
          <w:cantSplit/>
        </w:trPr>
        <w:tc>
          <w:tcPr>
            <w:tcW w:type="dxa" w:w="4320"/>
            <w:tcMar>
              <w:top w:w="80" w:type="dxa"/>
              <w:start w:w="120" w:type="dxa"/>
              <w:bottom w:w="80" w:type="dxa"/>
              <w:end w:w="120" w:type="dxa"/>
            </w:tcMar>
            <w:shd w:fill="102A43"/>
          </w:tcPr>
          <w:p>
            <w:r>
              <w:rPr>
                <w:rFonts w:ascii="Aptos" w:hAnsi="Aptos"/>
                <w:b/>
                <w:i w:val="0"/>
                <w:color w:val="FFFFFF"/>
                <w:sz w:val="17"/>
              </w:rPr>
              <w:t>Action</w:t>
            </w:r>
          </w:p>
        </w:tc>
        <w:tc>
          <w:tcPr>
            <w:tcW w:type="dxa" w:w="1944"/>
            <w:tcMar>
              <w:top w:w="80" w:type="dxa"/>
              <w:start w:w="120" w:type="dxa"/>
              <w:bottom w:w="80" w:type="dxa"/>
              <w:end w:w="120" w:type="dxa"/>
            </w:tcMar>
            <w:shd w:fill="102A43"/>
          </w:tcPr>
          <w:p>
            <w:r>
              <w:rPr>
                <w:rFonts w:ascii="Aptos" w:hAnsi="Aptos"/>
                <w:b/>
                <w:i w:val="0"/>
                <w:color w:val="FFFFFF"/>
                <w:sz w:val="17"/>
              </w:rPr>
              <w:t>Owner</w:t>
            </w:r>
          </w:p>
        </w:tc>
        <w:tc>
          <w:tcPr>
            <w:tcW w:type="dxa" w:w="1728"/>
            <w:tcMar>
              <w:top w:w="80" w:type="dxa"/>
              <w:start w:w="120" w:type="dxa"/>
              <w:bottom w:w="80" w:type="dxa"/>
              <w:end w:w="120" w:type="dxa"/>
            </w:tcMar>
            <w:shd w:fill="102A43"/>
          </w:tcPr>
          <w:p>
            <w:r>
              <w:rPr>
                <w:rFonts w:ascii="Aptos" w:hAnsi="Aptos"/>
                <w:b/>
                <w:i w:val="0"/>
                <w:color w:val="FFFFFF"/>
                <w:sz w:val="17"/>
              </w:rPr>
              <w:t>Due</w:t>
            </w:r>
          </w:p>
        </w:tc>
        <w:tc>
          <w:tcPr>
            <w:tcW w:type="dxa" w:w="1829"/>
            <w:tcMar>
              <w:top w:w="80" w:type="dxa"/>
              <w:start w:w="120" w:type="dxa"/>
              <w:bottom w:w="80" w:type="dxa"/>
              <w:end w:w="120" w:type="dxa"/>
            </w:tcMar>
            <w:shd w:fill="102A43"/>
          </w:tcPr>
          <w:p>
            <w:r>
              <w:rPr>
                <w:rFonts w:ascii="Aptos" w:hAnsi="Aptos"/>
                <w:b/>
                <w:i w:val="0"/>
                <w:color w:val="FFFFFF"/>
                <w:sz w:val="17"/>
              </w:rPr>
              <w:t>Status</w:t>
            </w:r>
          </w:p>
        </w:tc>
      </w:tr>
      <w:tr>
        <w:trPr>
          <w:cantSplit/>
        </w:trPr>
        <w:tc>
          <w:tcPr>
            <w:tcW w:type="dxa" w:w="2469"/>
          </w:tcPr>
          <w:p>
            <w:r>
              <w:rPr>
                <w:rFonts w:ascii="Aptos" w:hAnsi="Aptos"/>
                <w:b w:val="0"/>
                <w:i w:val="0"/>
                <w:color w:val="1F2933"/>
                <w:sz w:val="17"/>
              </w:rPr>
              <w:t>Complete penetration retest</w:t>
            </w:r>
          </w:p>
        </w:tc>
        <w:tc>
          <w:tcPr>
            <w:tcW w:type="dxa" w:w="2469"/>
          </w:tcPr>
          <w:p>
            <w:r>
              <w:rPr>
                <w:rFonts w:ascii="Aptos" w:hAnsi="Aptos"/>
                <w:b w:val="0"/>
                <w:i w:val="0"/>
                <w:color w:val="1F2933"/>
                <w:sz w:val="17"/>
              </w:rPr>
              <w:t>Priya Shah</w:t>
            </w:r>
          </w:p>
        </w:tc>
        <w:tc>
          <w:tcPr>
            <w:tcW w:type="dxa" w:w="2469"/>
          </w:tcPr>
          <w:p>
            <w:r>
              <w:rPr>
                <w:rFonts w:ascii="Aptos" w:hAnsi="Aptos"/>
                <w:b w:val="0"/>
                <w:i w:val="0"/>
                <w:color w:val="1F2933"/>
                <w:sz w:val="17"/>
              </w:rPr>
              <w:t>10 Sep 2026</w:t>
            </w:r>
          </w:p>
        </w:tc>
        <w:tc>
          <w:tcPr>
            <w:tcW w:type="dxa" w:w="2469"/>
          </w:tcPr>
          <w:p>
            <w:r>
              <w:rPr>
                <w:rFonts w:ascii="Aptos" w:hAnsi="Aptos"/>
                <w:b w:val="0"/>
                <w:i w:val="0"/>
                <w:color w:val="1F2933"/>
                <w:sz w:val="17"/>
              </w:rPr>
              <w:t>Confirmed</w:t>
            </w:r>
          </w:p>
        </w:tc>
      </w:tr>
      <w:tr>
        <w:trPr>
          <w:cantSplit/>
        </w:trPr>
        <w:tc>
          <w:tcPr>
            <w:tcW w:type="dxa" w:w="2469"/>
            <w:shd w:fill="F4F7FA"/>
          </w:tcPr>
          <w:p>
            <w:r>
              <w:rPr>
                <w:rFonts w:ascii="Aptos" w:hAnsi="Aptos"/>
                <w:b w:val="0"/>
                <w:i w:val="0"/>
                <w:color w:val="1F2933"/>
                <w:sz w:val="17"/>
              </w:rPr>
              <w:t>Provide fixes for four Severity 1 defects</w:t>
            </w:r>
          </w:p>
        </w:tc>
        <w:tc>
          <w:tcPr>
            <w:tcW w:type="dxa" w:w="2469"/>
            <w:shd w:fill="F4F7FA"/>
          </w:tcPr>
          <w:p>
            <w:r>
              <w:rPr>
                <w:rFonts w:ascii="Aptos" w:hAnsi="Aptos"/>
                <w:b w:val="0"/>
                <w:i w:val="0"/>
                <w:color w:val="1F2933"/>
                <w:sz w:val="17"/>
              </w:rPr>
              <w:t>Daniel Weber</w:t>
            </w:r>
          </w:p>
        </w:tc>
        <w:tc>
          <w:tcPr>
            <w:tcW w:type="dxa" w:w="2469"/>
            <w:shd w:fill="F4F7FA"/>
          </w:tcPr>
          <w:p>
            <w:r>
              <w:rPr>
                <w:rFonts w:ascii="Aptos" w:hAnsi="Aptos"/>
                <w:b w:val="0"/>
                <w:i w:val="0"/>
                <w:color w:val="1F2933"/>
                <w:sz w:val="17"/>
              </w:rPr>
              <w:t>8 Sep 2026</w:t>
            </w:r>
          </w:p>
        </w:tc>
        <w:tc>
          <w:tcPr>
            <w:tcW w:type="dxa" w:w="2469"/>
            <w:shd w:fill="F4F7FA"/>
          </w:tcPr>
          <w:p>
            <w:r>
              <w:rPr>
                <w:rFonts w:ascii="Aptos" w:hAnsi="Aptos"/>
                <w:b w:val="0"/>
                <w:i w:val="0"/>
                <w:color w:val="1F2933"/>
                <w:sz w:val="17"/>
              </w:rPr>
              <w:t>Forecast</w:t>
            </w:r>
          </w:p>
        </w:tc>
      </w:tr>
      <w:tr>
        <w:trPr>
          <w:cantSplit/>
        </w:trPr>
        <w:tc>
          <w:tcPr>
            <w:tcW w:type="dxa" w:w="2469"/>
          </w:tcPr>
          <w:p>
            <w:r>
              <w:rPr>
                <w:rFonts w:ascii="Aptos" w:hAnsi="Aptos"/>
                <w:b w:val="0"/>
                <w:i w:val="0"/>
                <w:color w:val="1F2933"/>
                <w:sz w:val="17"/>
              </w:rPr>
              <w:t>Complete remaining user training</w:t>
            </w:r>
          </w:p>
        </w:tc>
        <w:tc>
          <w:tcPr>
            <w:tcW w:type="dxa" w:w="2469"/>
          </w:tcPr>
          <w:p>
            <w:r>
              <w:rPr>
                <w:rFonts w:ascii="Aptos" w:hAnsi="Aptos"/>
                <w:b w:val="0"/>
                <w:i w:val="0"/>
                <w:color w:val="1F2933"/>
                <w:sz w:val="17"/>
              </w:rPr>
              <w:t>Sofia Lind</w:t>
            </w:r>
          </w:p>
        </w:tc>
        <w:tc>
          <w:tcPr>
            <w:tcW w:type="dxa" w:w="2469"/>
          </w:tcPr>
          <w:p>
            <w:r>
              <w:rPr>
                <w:rFonts w:ascii="Aptos" w:hAnsi="Aptos"/>
                <w:b w:val="0"/>
                <w:i w:val="0"/>
                <w:color w:val="1F2933"/>
                <w:sz w:val="17"/>
              </w:rPr>
              <w:t>Before launch</w:t>
            </w:r>
          </w:p>
        </w:tc>
        <w:tc>
          <w:tcPr>
            <w:tcW w:type="dxa" w:w="2469"/>
          </w:tcPr>
          <w:p>
            <w:r>
              <w:rPr>
                <w:rFonts w:ascii="Aptos" w:hAnsi="Aptos"/>
                <w:b w:val="0"/>
                <w:i w:val="0"/>
                <w:color w:val="1F2933"/>
                <w:sz w:val="17"/>
              </w:rPr>
              <w:t>Confirmed action; date incomplete</w:t>
            </w:r>
          </w:p>
        </w:tc>
      </w:tr>
      <w:tr>
        <w:trPr>
          <w:cantSplit/>
        </w:trPr>
        <w:tc>
          <w:tcPr>
            <w:tcW w:type="dxa" w:w="2469"/>
            <w:shd w:fill="F4F7FA"/>
          </w:tcPr>
          <w:p>
            <w:r>
              <w:rPr>
                <w:rFonts w:ascii="Aptos" w:hAnsi="Aptos"/>
                <w:b w:val="0"/>
                <w:i w:val="0"/>
                <w:color w:val="1F2933"/>
                <w:sz w:val="17"/>
              </w:rPr>
              <w:t>Confirm migration sign-off owner</w:t>
            </w:r>
          </w:p>
        </w:tc>
        <w:tc>
          <w:tcPr>
            <w:tcW w:type="dxa" w:w="2469"/>
            <w:shd w:fill="F4F7FA"/>
          </w:tcPr>
          <w:p>
            <w:r>
              <w:rPr>
                <w:rFonts w:ascii="Aptos" w:hAnsi="Aptos"/>
                <w:b w:val="0"/>
                <w:i w:val="0"/>
                <w:color w:val="1F2933"/>
                <w:sz w:val="17"/>
              </w:rPr>
              <w:t>Not confirmed</w:t>
            </w:r>
          </w:p>
        </w:tc>
        <w:tc>
          <w:tcPr>
            <w:tcW w:type="dxa" w:w="2469"/>
            <w:shd w:fill="F4F7FA"/>
          </w:tcPr>
          <w:p>
            <w:r>
              <w:rPr>
                <w:rFonts w:ascii="Aptos" w:hAnsi="Aptos"/>
                <w:b w:val="0"/>
                <w:i w:val="0"/>
                <w:color w:val="1F2933"/>
                <w:sz w:val="17"/>
              </w:rPr>
              <w:t>Not confirmed</w:t>
            </w:r>
          </w:p>
        </w:tc>
        <w:tc>
          <w:tcPr>
            <w:tcW w:type="dxa" w:w="2469"/>
            <w:shd w:fill="F4F7FA"/>
          </w:tcPr>
          <w:p>
            <w:r>
              <w:rPr>
                <w:rFonts w:ascii="Aptos" w:hAnsi="Aptos"/>
                <w:b w:val="0"/>
                <w:i w:val="0"/>
                <w:color w:val="1F2933"/>
                <w:sz w:val="17"/>
              </w:rPr>
              <w:t>Open</w:t>
            </w:r>
          </w:p>
        </w:tc>
      </w:tr>
      <w:tr>
        <w:trPr>
          <w:cantSplit/>
        </w:trPr>
        <w:tc>
          <w:tcPr>
            <w:tcW w:type="dxa" w:w="2469"/>
          </w:tcPr>
          <w:p>
            <w:r>
              <w:rPr>
                <w:rFonts w:ascii="Aptos" w:hAnsi="Aptos"/>
                <w:b w:val="0"/>
                <w:i w:val="0"/>
                <w:color w:val="1F2933"/>
                <w:sz w:val="17"/>
              </w:rPr>
              <w:t>Prepare launch-date change request</w:t>
            </w:r>
          </w:p>
        </w:tc>
        <w:tc>
          <w:tcPr>
            <w:tcW w:type="dxa" w:w="2469"/>
          </w:tcPr>
          <w:p>
            <w:r>
              <w:rPr>
                <w:rFonts w:ascii="Aptos" w:hAnsi="Aptos"/>
                <w:b w:val="0"/>
                <w:i w:val="0"/>
                <w:color w:val="1F2933"/>
                <w:sz w:val="17"/>
              </w:rPr>
              <w:t>Hanna Reed</w:t>
            </w:r>
          </w:p>
        </w:tc>
        <w:tc>
          <w:tcPr>
            <w:tcW w:type="dxa" w:w="2469"/>
          </w:tcPr>
          <w:p>
            <w:r>
              <w:rPr>
                <w:rFonts w:ascii="Aptos" w:hAnsi="Aptos"/>
                <w:b w:val="0"/>
                <w:i w:val="0"/>
                <w:color w:val="1F2933"/>
                <w:sz w:val="17"/>
              </w:rPr>
              <w:t>27 Aug 2026</w:t>
            </w:r>
          </w:p>
        </w:tc>
        <w:tc>
          <w:tcPr>
            <w:tcW w:type="dxa" w:w="2469"/>
          </w:tcPr>
          <w:p>
            <w:r>
              <w:rPr>
                <w:rFonts w:ascii="Aptos" w:hAnsi="Aptos"/>
                <w:b w:val="0"/>
                <w:i w:val="0"/>
                <w:color w:val="1F2933"/>
                <w:sz w:val="17"/>
              </w:rPr>
              <w:t>Confirmed</w:t>
            </w:r>
          </w:p>
        </w:tc>
      </w:tr>
    </w:tbl>
    <w:p>
      <w:pPr>
        <w:pStyle w:val="Heading1"/>
      </w:pPr>
      <w:r>
        <w:t>Unresolved items</w:t>
      </w:r>
    </w:p>
    <w:p>
      <w:pPr>
        <w:pStyle w:val="ListBullet"/>
      </w:pPr>
      <w:r>
        <w:t>Security approval remains conditional on the retest.</w:t>
      </w:r>
    </w:p>
    <w:p>
      <w:pPr>
        <w:pStyle w:val="ListBullet"/>
      </w:pPr>
      <w:r>
        <w:t>Four Severity 1 defects remain open.</w:t>
      </w:r>
    </w:p>
    <w:p>
      <w:pPr>
        <w:pStyle w:val="ListBullet"/>
      </w:pPr>
      <w:r>
        <w:t>Migration sign-off owner is not confirmed.</w:t>
      </w:r>
    </w:p>
    <w:p>
      <w:pPr>
        <w:pStyle w:val="ListBullet"/>
      </w:pPr>
      <w:r>
        <w:t>The EUR 35,000 weekly delay figure is unsupported.</w:t>
      </w:r>
    </w:p>
    <w:p>
      <w:pPr>
        <w:pStyle w:val="ListBullet"/>
      </w:pPr>
      <w:r>
        <w:t>The suggested 29 September date requires an approved change notice.</w:t>
      </w:r>
    </w:p>
    <w:p>
      <w:pPr>
        <w:pStyle w:val="ListBullet"/>
      </w:pPr>
      <w:r>
        <w:t>Conditional Go is a proposal, not an approved decision.</w:t>
      </w:r>
    </w:p>
    <w:p>
      <w:pPr>
        <w:pStyle w:val="Heading1"/>
      </w:pPr>
      <w:r>
        <w:t>How to interpret these notes</w:t>
      </w:r>
    </w:p>
    <w:tbl>
      <w:tblPr>
        <w:tblW w:type="dxa" w:w="9820"/>
        <w:jc w:val="left"/>
        <w:tblLayout w:type="fixed"/>
        <w:tblLook w:firstColumn="1" w:firstRow="1" w:lastColumn="0" w:lastRow="0" w:noHBand="0" w:noVBand="1" w:val="04A0"/>
        <w:tblInd w:w="120" w:type="dxa"/>
        <w:tblBorders>
          <w:top w:val="single" w:sz="6" w:color="D8E1EA"/>
          <w:left w:val="single" w:sz="6" w:color="D8E1EA"/>
          <w:bottom w:val="single" w:sz="6" w:color="D8E1EA"/>
          <w:right w:val="single" w:sz="6" w:color="D8E1EA"/>
          <w:insideH w:val="single" w:sz="6" w:color="D8E1EA"/>
          <w:insideV w:val="single" w:sz="6" w:color="D8E1EA"/>
        </w:tblBorders>
      </w:tblPr>
      <w:tblGrid>
        <w:gridCol w:w="4939"/>
        <w:gridCol w:w="4939"/>
      </w:tblGrid>
      <w:tr>
        <w:trPr>
          <w:tblHeader w:val="true"/>
          <w:cantSplit/>
        </w:trPr>
        <w:tc>
          <w:tcPr>
            <w:tcW w:type="dxa" w:w="2088"/>
            <w:tcMar>
              <w:top w:w="80" w:type="dxa"/>
              <w:start w:w="120" w:type="dxa"/>
              <w:bottom w:w="80" w:type="dxa"/>
              <w:end w:w="120" w:type="dxa"/>
            </w:tcMar>
            <w:shd w:fill="102A43"/>
          </w:tcPr>
          <w:p>
            <w:r>
              <w:rPr>
                <w:rFonts w:ascii="Aptos" w:hAnsi="Aptos"/>
                <w:b/>
                <w:i w:val="0"/>
                <w:color w:val="FFFFFF"/>
                <w:sz w:val="17"/>
              </w:rPr>
              <w:t>Label</w:t>
            </w:r>
          </w:p>
        </w:tc>
        <w:tc>
          <w:tcPr>
            <w:tcW w:type="dxa" w:w="7733"/>
            <w:tcMar>
              <w:top w:w="80" w:type="dxa"/>
              <w:start w:w="120" w:type="dxa"/>
              <w:bottom w:w="80" w:type="dxa"/>
              <w:end w:w="120" w:type="dxa"/>
            </w:tcMar>
            <w:shd w:fill="102A43"/>
          </w:tcPr>
          <w:p>
            <w:r>
              <w:rPr>
                <w:rFonts w:ascii="Aptos" w:hAnsi="Aptos"/>
                <w:b/>
                <w:i w:val="0"/>
                <w:color w:val="FFFFFF"/>
                <w:sz w:val="17"/>
              </w:rPr>
              <w:t>Meaning in the presentation</w:t>
            </w:r>
          </w:p>
        </w:tc>
      </w:tr>
      <w:tr>
        <w:trPr>
          <w:cantSplit/>
        </w:trPr>
        <w:tc>
          <w:tcPr>
            <w:tcW w:type="dxa" w:w="4939"/>
          </w:tcPr>
          <w:p>
            <w:r>
              <w:rPr>
                <w:rFonts w:ascii="Aptos" w:hAnsi="Aptos"/>
                <w:b w:val="0"/>
                <w:i w:val="0"/>
                <w:color w:val="1F2933"/>
                <w:sz w:val="17"/>
              </w:rPr>
              <w:t>Confirmed fact</w:t>
            </w:r>
          </w:p>
        </w:tc>
        <w:tc>
          <w:tcPr>
            <w:tcW w:type="dxa" w:w="4939"/>
          </w:tcPr>
          <w:p>
            <w:r>
              <w:rPr>
                <w:rFonts w:ascii="Aptos" w:hAnsi="Aptos"/>
                <w:b w:val="0"/>
                <w:i w:val="0"/>
                <w:color w:val="1F2933"/>
                <w:sz w:val="17"/>
              </w:rPr>
              <w:t>May be used when the statement is supported by a current authoritative source.</w:t>
            </w:r>
          </w:p>
        </w:tc>
      </w:tr>
      <w:tr>
        <w:trPr>
          <w:cantSplit/>
        </w:trPr>
        <w:tc>
          <w:tcPr>
            <w:tcW w:type="dxa" w:w="4939"/>
            <w:shd w:fill="F4F7FA"/>
          </w:tcPr>
          <w:p>
            <w:r>
              <w:rPr>
                <w:rFonts w:ascii="Aptos" w:hAnsi="Aptos"/>
                <w:b w:val="0"/>
                <w:i w:val="0"/>
                <w:color w:val="1F2933"/>
                <w:sz w:val="17"/>
              </w:rPr>
              <w:t>Forecast</w:t>
            </w:r>
          </w:p>
        </w:tc>
        <w:tc>
          <w:tcPr>
            <w:tcW w:type="dxa" w:w="4939"/>
            <w:shd w:fill="F4F7FA"/>
          </w:tcPr>
          <w:p>
            <w:r>
              <w:rPr>
                <w:rFonts w:ascii="Aptos" w:hAnsi="Aptos"/>
                <w:b w:val="0"/>
                <w:i w:val="0"/>
                <w:color w:val="1F2933"/>
                <w:sz w:val="17"/>
              </w:rPr>
              <w:t>Keep the forecast owner and label; do not present it as completed work.</w:t>
            </w:r>
          </w:p>
        </w:tc>
      </w:tr>
      <w:tr>
        <w:trPr>
          <w:cantSplit/>
        </w:trPr>
        <w:tc>
          <w:tcPr>
            <w:tcW w:type="dxa" w:w="4939"/>
          </w:tcPr>
          <w:p>
            <w:r>
              <w:rPr>
                <w:rFonts w:ascii="Aptos" w:hAnsi="Aptos"/>
                <w:b w:val="0"/>
                <w:i w:val="0"/>
                <w:color w:val="1F2933"/>
                <w:sz w:val="17"/>
              </w:rPr>
              <w:t>Proposal</w:t>
            </w:r>
          </w:p>
        </w:tc>
        <w:tc>
          <w:tcPr>
            <w:tcW w:type="dxa" w:w="4939"/>
          </w:tcPr>
          <w:p>
            <w:r>
              <w:rPr>
                <w:rFonts w:ascii="Aptos" w:hAnsi="Aptos"/>
                <w:b w:val="0"/>
                <w:i w:val="0"/>
                <w:color w:val="1F2933"/>
                <w:sz w:val="17"/>
              </w:rPr>
              <w:t>Show the decision still required and do not convert it into approval.</w:t>
            </w:r>
          </w:p>
        </w:tc>
      </w:tr>
      <w:tr>
        <w:trPr>
          <w:cantSplit/>
        </w:trPr>
        <w:tc>
          <w:tcPr>
            <w:tcW w:type="dxa" w:w="4939"/>
            <w:shd w:fill="F4F7FA"/>
          </w:tcPr>
          <w:p>
            <w:r>
              <w:rPr>
                <w:rFonts w:ascii="Aptos" w:hAnsi="Aptos"/>
                <w:b w:val="0"/>
                <w:i w:val="0"/>
                <w:color w:val="1F2933"/>
                <w:sz w:val="17"/>
              </w:rPr>
              <w:t>Not confirmed</w:t>
            </w:r>
          </w:p>
        </w:tc>
        <w:tc>
          <w:tcPr>
            <w:tcW w:type="dxa" w:w="4939"/>
            <w:shd w:fill="F4F7FA"/>
          </w:tcPr>
          <w:p>
            <w:r>
              <w:rPr>
                <w:rFonts w:ascii="Aptos" w:hAnsi="Aptos"/>
                <w:b w:val="0"/>
                <w:i w:val="0"/>
                <w:color w:val="1F2933"/>
                <w:sz w:val="17"/>
              </w:rPr>
              <w:t>Keep the missing owner, deadline, value or evidence visible.</w:t>
            </w:r>
          </w:p>
        </w:tc>
      </w:tr>
    </w:tbl>
    <w:tbl>
      <w:tblPr>
        <w:tblW w:type="dxa" w:w="9820"/>
        <w:jc w:val="left"/>
        <w:tblLayout w:type="fixed"/>
        <w:tblLook w:firstColumn="1" w:firstRow="1" w:lastColumn="0" w:lastRow="0" w:noHBand="0" w:noVBand="1" w:val="04A0"/>
        <w:tblInd w:w="120" w:type="dxa"/>
        <w:tblBorders>
          <w:top w:val="single" w:sz="6" w:color="FDECEC"/>
          <w:left w:val="single" w:sz="6" w:color="FDECEC"/>
          <w:bottom w:val="single" w:sz="6" w:color="FDECEC"/>
          <w:right w:val="single" w:sz="6" w:color="FDECEC"/>
          <w:insideH w:val="single" w:sz="6" w:color="FDECEC"/>
          <w:insideV w:val="single" w:sz="6" w:color="FDECEC"/>
        </w:tblBorders>
      </w:tblPr>
      <w:tblGrid>
        <w:gridCol w:w="9878"/>
      </w:tblGrid>
      <w:tr>
        <w:tc>
          <w:tcPr>
            <w:tcW w:type="dxa" w:w="9821"/>
            <w:tcMar>
              <w:top w:w="80" w:type="dxa"/>
              <w:start w:w="120" w:type="dxa"/>
              <w:bottom w:w="80" w:type="dxa"/>
              <w:end w:w="120" w:type="dxa"/>
            </w:tcMar>
            <w:shd w:fill="FDECEC"/>
          </w:tcPr>
          <w:p>
            <w:r>
              <w:rPr>
                <w:rFonts w:ascii="Aptos" w:hAnsi="Aptos"/>
                <w:b/>
                <w:i w:val="0"/>
                <w:color w:val="A33A3A"/>
                <w:sz w:val="17"/>
              </w:rPr>
              <w:t>PARTICIPANT TASK</w:t>
              <w:br/>
            </w:r>
            <w:r>
              <w:rPr>
                <w:rFonts w:ascii="Aptos" w:hAnsi="Aptos"/>
                <w:b w:val="0"/>
                <w:i w:val="0"/>
                <w:color w:val="1F2933"/>
                <w:sz w:val="20"/>
              </w:rPr>
              <w:t>Find at least one fact, one forecast, one proposal and one unsupported statement before creating the presentation.</w:t>
            </w:r>
          </w:p>
        </w:tc>
      </w:tr>
    </w:tbl>
    <w:p>
      <w:pPr>
        <w:spacing w:after="20"/>
      </w:pPr>
    </w:p>
    <w:sectPr w:rsidR="00FC693F" w:rsidRPr="0006063C" w:rsidSect="00034616">
      <w:headerReference w:type="default" r:id="rId9"/>
      <w:footerReference w:type="default" r:id="rId10"/>
      <w:pgSz w:w="12240" w:h="15840"/>
      <w:pgMar w:top="1123" w:right="1181" w:bottom="1037" w:left="1181"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i w:val="0"/>
        <w:color w:val="627D98"/>
        <w:sz w:val="16"/>
      </w:rPr>
      <w:t>DATech  |  Participant workshop material  |  Synthetic data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left"/>
      <w:tblLayout w:type="fixed"/>
      <w:tblLook w:firstColumn="1" w:firstRow="1" w:lastColumn="0" w:lastRow="0" w:noHBand="0" w:noVBand="1" w:val="04A0"/>
      <w:tblBorders>
        <w:top w:val="single" w:sz="0" w:color="FFFFFF"/>
        <w:left w:val="single" w:sz="0" w:color="FFFFFF"/>
        <w:bottom w:val="single" w:sz="0" w:color="FFFFFF"/>
        <w:right w:val="single" w:sz="0" w:color="FFFFFF"/>
        <w:insideH w:val="single" w:sz="0" w:color="FFFFFF"/>
        <w:insideV w:val="single" w:sz="0" w:color="FFFFFF"/>
      </w:tblBorders>
    </w:tblPr>
    <w:tblGrid>
      <w:gridCol w:w="8208"/>
      <w:gridCol w:w="1613"/>
    </w:tblGrid>
    <w:tr>
      <w:tc>
        <w:tcPr>
          <w:tcW w:type="dxa" w:w="4910"/>
          <w:vAlign w:val="center"/>
          <w:tcMar>
            <w:top w:w="0" w:type="dxa"/>
            <w:start w:w="0" w:type="dxa"/>
            <w:bottom w:w="0" w:type="dxa"/>
            <w:end w:w="0" w:type="dxa"/>
          </w:tcMar>
        </w:tcPr>
        <w:p>
          <w:pPr>
            <w:jc w:val="left"/>
          </w:pPr>
          <w:r>
            <w:rPr>
              <w:rFonts w:ascii="Aptos" w:hAnsi="Aptos"/>
              <w:b/>
              <w:i w:val="0"/>
              <w:color w:val="627D98"/>
              <w:sz w:val="17"/>
            </w:rPr>
            <w:t>Microsoft Copilot Labs  |  Project Northstar Meeting Notes</w:t>
          </w:r>
        </w:p>
      </w:tc>
      <w:tc>
        <w:tcPr>
          <w:tcW w:type="dxa" w:w="4910"/>
          <w:vAlign w:val="center"/>
          <w:tcMar>
            <w:top w:w="0" w:type="dxa"/>
            <w:start w:w="0" w:type="dxa"/>
            <w:bottom w:w="0" w:type="dxa"/>
            <w:end w:w="0" w:type="dxa"/>
          </w:tcMar>
        </w:tcPr>
        <w:p>
          <w:pPr>
            <w:jc w:val="right"/>
          </w:pPr>
          <w:r>
            <w:drawing>
              <wp:inline xmlns:a="http://schemas.openxmlformats.org/drawingml/2006/main" xmlns:pic="http://schemas.openxmlformats.org/drawingml/2006/picture">
                <wp:extent cx="713232" cy="364909"/>
                <wp:docPr id="1" name="Picture 1"/>
                <wp:cNvGraphicFramePr>
                  <a:graphicFrameLocks noChangeAspect="1"/>
                </wp:cNvGraphicFramePr>
                <a:graphic>
                  <a:graphicData uri="http://schemas.openxmlformats.org/drawingml/2006/picture">
                    <pic:pic>
                      <pic:nvPicPr>
                        <pic:cNvPr id="0" name="DATech logo copy.jpg"/>
                        <pic:cNvPicPr/>
                      </pic:nvPicPr>
                      <pic:blipFill>
                        <a:blip r:embed="rId1"/>
                        <a:stretch>
                          <a:fillRect/>
                        </a:stretch>
                      </pic:blipFill>
                      <pic:spPr>
                        <a:xfrm>
                          <a:off x="0" y="0"/>
                          <a:ext cx="713232" cy="364909"/>
                        </a:xfrm>
                        <a:prstGeom prst="rect"/>
                      </pic:spPr>
                    </pic:pic>
                  </a:graphicData>
                </a:graphic>
              </wp:inline>
            </w:drawing>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color w:val="1F29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ptos Display" w:hAnsi="Aptos Display"/>
      <w:b/>
      <w:bCs/>
      <w:color w:val="102A43"/>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2563EB"/>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48658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ind w:left="518" w:hanging="259"/>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ind w:left="518" w:hanging="259"/>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