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ptos" w:hAnsi="Aptos"/>
          <w:b/>
          <w:i w:val="0"/>
          <w:color w:val="2563EB"/>
          <w:sz w:val="18"/>
        </w:rPr>
        <w:t>LAB 6 SOURCE FILE</w:t>
      </w:r>
    </w:p>
    <w:p>
      <w:pPr>
        <w:spacing w:after="100"/>
      </w:pPr>
      <w:r>
        <w:rPr>
          <w:rFonts w:ascii="Aptos" w:hAnsi="Aptos"/>
          <w:b/>
          <w:i w:val="0"/>
          <w:color w:val="102A43"/>
          <w:sz w:val="52"/>
        </w:rPr>
        <w:t>Project Northstar - Project Brief</w:t>
      </w:r>
    </w:p>
    <w:p>
      <w:pPr>
        <w:spacing w:after="300"/>
      </w:pPr>
      <w:r>
        <w:rPr>
          <w:rFonts w:ascii="Aptos" w:hAnsi="Aptos"/>
          <w:b w:val="0"/>
          <w:i w:val="0"/>
          <w:color w:val="486581"/>
          <w:sz w:val="25"/>
        </w:rPr>
        <w:t>Supplier Onboarding Platform | Steering Committee evidence pack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9F2"/>
          <w:left w:val="single" w:sz="6" w:color="C9D9F2"/>
          <w:bottom w:val="single" w:sz="6" w:color="C9D9F2"/>
          <w:right w:val="single" w:sz="6" w:color="C9D9F2"/>
          <w:insideH w:val="single" w:sz="6" w:color="C9D9F2"/>
          <w:insideV w:val="single" w:sz="6" w:color="C9D9F2"/>
        </w:tblBorders>
      </w:tblPr>
      <w:tblGrid>
        <w:gridCol w:w="3293"/>
        <w:gridCol w:w="3293"/>
        <w:gridCol w:w="3293"/>
      </w:tblGrid>
      <w:tr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VERSION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1.0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ISSUED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20 August 2026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STATUS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Approved baseline</w:t>
            </w:r>
          </w:p>
        </w:tc>
      </w:tr>
    </w:tbl>
    <w:p>
      <w:pPr>
        <w:spacing w:after="40"/>
      </w:pP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DECEC"/>
          <w:left w:val="single" w:sz="6" w:color="FDECEC"/>
          <w:bottom w:val="single" w:sz="6" w:color="FDECEC"/>
          <w:right w:val="single" w:sz="6" w:color="FDECEC"/>
          <w:insideH w:val="single" w:sz="6" w:color="FDECEC"/>
          <w:insideV w:val="single" w:sz="6" w:color="FDECEC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r>
              <w:rPr>
                <w:rFonts w:ascii="Aptos" w:hAnsi="Aptos"/>
                <w:b/>
                <w:i w:val="0"/>
                <w:color w:val="A33A3A"/>
                <w:sz w:val="17"/>
              </w:rPr>
              <w:t>SOURCE RULE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Treat this document as the approved baseline for scope, objectives and original launch date. Later approved change notices override only the fields they explicitly name.</w:t>
            </w:r>
          </w:p>
        </w:tc>
      </w:tr>
    </w:tbl>
    <w:p>
      <w:pPr>
        <w:spacing w:after="20"/>
      </w:pPr>
    </w:p>
    <w:p>
      <w:pPr>
        <w:pStyle w:val="Heading1"/>
      </w:pPr>
      <w:r>
        <w:t>1. Business context</w:t>
      </w:r>
    </w:p>
    <w:p>
      <w:r>
        <w:t>Northstar Group is introducing a supplier-onboarding platform for Procurement and Operations. The pilot will cover 250 active and prospective suppliers and 50 internal users. SAP remains the system of record for activated suppliers.</w:t>
      </w:r>
    </w:p>
    <w:p>
      <w:pPr>
        <w:pStyle w:val="Heading1"/>
      </w:pPr>
      <w:r>
        <w:t>2. Pilot objective and success targets</w:t>
      </w:r>
    </w:p>
    <w:p>
      <w:pPr>
        <w:pStyle w:val="ListBullet"/>
      </w:pPr>
      <w:r>
        <w:t>Reduce the average supplier-onboarding cycle from 12 to 7 business days within three months of launch.</w:t>
      </w:r>
    </w:p>
    <w:p>
      <w:pPr>
        <w:pStyle w:val="ListBullet"/>
      </w:pPr>
      <w:r>
        <w:t>Reduce manual follow-up emails by 30% within three months of launch.</w:t>
      </w:r>
    </w:p>
    <w:p>
      <w:pPr>
        <w:pStyle w:val="ListBullet"/>
      </w:pPr>
      <w:r>
        <w:t>Preserve independent banking-data verification and audit evidence.</w:t>
      </w:r>
    </w:p>
    <w:p>
      <w:pPr>
        <w:pStyle w:val="ListBullet"/>
      </w:pPr>
      <w:r>
        <w:t>Provide Procurement with one visible onboarding status per supplier.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FF5D6"/>
          <w:left w:val="single" w:sz="6" w:color="FFF5D6"/>
          <w:bottom w:val="single" w:sz="6" w:color="FFF5D6"/>
          <w:right w:val="single" w:sz="6" w:color="FFF5D6"/>
          <w:insideH w:val="single" w:sz="6" w:color="FFF5D6"/>
          <w:insideV w:val="single" w:sz="6" w:color="FFF5D6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i w:val="0"/>
                <w:color w:val="C47F00"/>
                <w:sz w:val="17"/>
              </w:rPr>
              <w:t>IMPORTANT DISTINCTION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The cycle-time and follow-up figures are targets. They are not benefits already achieved.</w:t>
            </w:r>
          </w:p>
        </w:tc>
      </w:tr>
    </w:tbl>
    <w:p>
      <w:pPr>
        <w:spacing w:after="20"/>
      </w:pPr>
    </w:p>
    <w:p>
      <w:pPr>
        <w:pStyle w:val="Heading1"/>
      </w:pPr>
      <w:r>
        <w:t>3. Approved scope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In scope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Out of scope</w:t>
            </w:r>
          </w:p>
        </w:tc>
      </w:tr>
      <w:tr>
        <w:trPr>
          <w:cantSplit/>
        </w:trPr>
        <w:tc>
          <w:tcPr>
            <w:tcW w:type="dxa" w:w="4939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Supplier intake and document collection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Automated supplier activation in SAP</w:t>
            </w:r>
          </w:p>
        </w:tc>
      </w:tr>
      <w:tr>
        <w:trPr>
          <w:cantSplit/>
        </w:trPr>
        <w:tc>
          <w:tcPr>
            <w:tcW w:type="dxa" w:w="4939"/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Compliance-screening workflow and evidence</w:t>
            </w:r>
          </w:p>
        </w:tc>
        <w:tc>
          <w:tcPr>
            <w:tcW w:type="dxa" w:w="4939"/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Global rollout beyond the pilot</w:t>
            </w:r>
          </w:p>
        </w:tc>
      </w:tr>
      <w:tr>
        <w:trPr>
          <w:cantSplit/>
        </w:trPr>
        <w:tc>
          <w:tcPr>
            <w:tcW w:type="dxa" w:w="4939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Bank-detail verification hand-off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Changes to payment approval policy</w:t>
            </w:r>
          </w:p>
        </w:tc>
      </w:tr>
      <w:tr>
        <w:trPr>
          <w:cantSplit/>
        </w:trPr>
        <w:tc>
          <w:tcPr>
            <w:tcW w:type="dxa" w:w="4939"/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Status tracking and internal notifications</w:t>
            </w:r>
          </w:p>
        </w:tc>
        <w:tc>
          <w:tcPr>
            <w:tcW w:type="dxa" w:w="4939"/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Automatic resolution of compliance exceptions</w:t>
            </w:r>
          </w:p>
        </w:tc>
      </w:tr>
    </w:tbl>
    <w:p>
      <w:pPr>
        <w:pStyle w:val="Heading1"/>
      </w:pPr>
      <w:r>
        <w:t>4. Baseline plan and funding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4939"/>
        <w:gridCol w:w="4939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8"/>
              </w:rPr>
              <w:t>Original pilot date</w:t>
            </w:r>
          </w:p>
        </w:tc>
        <w:tc>
          <w:tcPr>
            <w:tcW w:type="dxa" w:w="715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 September 2026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8"/>
              </w:rPr>
              <w:t>Approved budget</w:t>
            </w:r>
          </w:p>
        </w:tc>
        <w:tc>
          <w:tcPr>
            <w:tcW w:type="dxa" w:w="715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EUR 240,000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8"/>
              </w:rPr>
              <w:t>Programme sponsor</w:t>
            </w:r>
          </w:p>
        </w:tc>
        <w:tc>
          <w:tcPr>
            <w:tcW w:type="dxa" w:w="715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Lena Ortiz, Chief Operations Officer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8"/>
              </w:rPr>
              <w:t>Business owner</w:t>
            </w:r>
          </w:p>
        </w:tc>
        <w:tc>
          <w:tcPr>
            <w:tcW w:type="dxa" w:w="715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Elena Novak, Head of Procurement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8"/>
              </w:rPr>
              <w:t>Pilot groups</w:t>
            </w:r>
          </w:p>
        </w:tc>
        <w:tc>
          <w:tcPr>
            <w:tcW w:type="dxa" w:w="715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Procurement and Operations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8"/>
              </w:rPr>
              <w:t>Decision forum</w:t>
            </w:r>
          </w:p>
        </w:tc>
        <w:tc>
          <w:tcPr>
            <w:tcW w:type="dxa" w:w="715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Northstar Steering Committee</w:t>
            </w:r>
          </w:p>
        </w:tc>
      </w:tr>
    </w:tbl>
    <w:p>
      <w:pPr>
        <w:pStyle w:val="Heading1"/>
      </w:pPr>
      <w:r>
        <w:t>5. Release-gate conditions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Gate</w:t>
            </w:r>
          </w:p>
        </w:tc>
        <w:tc>
          <w:tcPr>
            <w:tcW w:type="dxa" w:w="7589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Minimum condition</w:t>
            </w:r>
          </w:p>
        </w:tc>
      </w:tr>
      <w:tr>
        <w:trPr>
          <w:cantSplit/>
        </w:trPr>
        <w:tc>
          <w:tcPr>
            <w:tcW w:type="dxa" w:w="4939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UAT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No open Severity 1 defects; accepted workaround for any open Severity 2 defect.</w:t>
            </w:r>
          </w:p>
        </w:tc>
      </w:tr>
      <w:tr>
        <w:trPr>
          <w:cantSplit/>
        </w:trPr>
        <w:tc>
          <w:tcPr>
            <w:tcW w:type="dxa" w:w="4939"/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Security</w:t>
            </w:r>
          </w:p>
        </w:tc>
        <w:tc>
          <w:tcPr>
            <w:tcW w:type="dxa" w:w="4939"/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Penetration retest passed or external access remains disabled under an approved restriction.</w:t>
            </w:r>
          </w:p>
        </w:tc>
      </w:tr>
      <w:tr>
        <w:trPr>
          <w:cantSplit/>
        </w:trPr>
        <w:tc>
          <w:tcPr>
            <w:tcW w:type="dxa" w:w="4939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Data migration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All pilot supplier records validated before activation.</w:t>
            </w:r>
          </w:p>
        </w:tc>
      </w:tr>
      <w:tr>
        <w:trPr>
          <w:cantSplit/>
        </w:trPr>
        <w:tc>
          <w:tcPr>
            <w:tcW w:type="dxa" w:w="4939"/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Training</w:t>
            </w:r>
          </w:p>
        </w:tc>
        <w:tc>
          <w:tcPr>
            <w:tcW w:type="dxa" w:w="4939"/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At least 90% of the 50 pilot users complete training.</w:t>
            </w:r>
          </w:p>
        </w:tc>
      </w:tr>
      <w:tr>
        <w:trPr>
          <w:cantSplit/>
        </w:trPr>
        <w:tc>
          <w:tcPr>
            <w:tcW w:type="dxa" w:w="4939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Operations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Support owner and first-week triage process confirmed.</w:t>
            </w:r>
          </w:p>
        </w:tc>
      </w:tr>
    </w:tbl>
    <w:p>
      <w:pPr>
        <w:pStyle w:val="Heading1"/>
      </w:pPr>
      <w:r>
        <w:t>6. Decisions required from the Steering Committee</w:t>
      </w:r>
    </w:p>
    <w:p>
      <w:pPr>
        <w:pStyle w:val="ListNumber"/>
      </w:pPr>
      <w:r>
        <w:t>Confirm whether the pilot should proceed, proceed conditionally or be delayed.</w:t>
      </w:r>
    </w:p>
    <w:p>
      <w:pPr>
        <w:pStyle w:val="ListNumber"/>
      </w:pPr>
      <w:r>
        <w:t>Confirm whether external supplier access may remain disabled until security approval is complete.</w:t>
      </w:r>
    </w:p>
    <w:p>
      <w:pPr>
        <w:pStyle w:val="ListNumber"/>
      </w:pPr>
      <w:r>
        <w:t>Confirm the accountable owner for final migration validation.</w:t>
      </w:r>
    </w:p>
    <w:p>
      <w:pPr>
        <w:pStyle w:val="ListNumber"/>
      </w:pPr>
      <w:r>
        <w:t>Confirm the revised launch date if an approved change notice exists.</w:t>
      </w:r>
    </w:p>
    <w:p>
      <w:pPr>
        <w:pStyle w:val="Heading1"/>
      </w:pPr>
      <w:r>
        <w:t>7. Source limitations</w:t>
      </w:r>
    </w:p>
    <w:p>
      <w:r>
        <w:t>This brief does not contain current readiness percentages, current defect counts, final security approval, a verified cost-of-delay calculation or a confirmed migration-validation owner. Those items must come from later approved evidence or remain Not confirmed.</w:t>
      </w:r>
    </w:p>
    <w:p>
      <w:pPr>
        <w:pStyle w:val="Heading1"/>
      </w:pPr>
      <w:r>
        <w:t>8. Evidence classification challenge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Statement</w:t>
            </w:r>
          </w:p>
        </w:tc>
        <w:tc>
          <w:tcPr>
            <w:tcW w:type="dxa" w:w="5069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Correct treatment</w:t>
            </w:r>
          </w:p>
        </w:tc>
      </w:tr>
      <w:tr>
        <w:trPr>
          <w:cantSplit/>
        </w:trPr>
        <w:tc>
          <w:tcPr>
            <w:tcW w:type="dxa" w:w="4939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The pilot launches on 15 September.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Baseline value only; check for an approved later change.</w:t>
            </w:r>
          </w:p>
        </w:tc>
      </w:tr>
      <w:tr>
        <w:trPr>
          <w:cantSplit/>
        </w:trPr>
        <w:tc>
          <w:tcPr>
            <w:tcW w:type="dxa" w:w="4939"/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The pilot will reduce onboarding to seven days.</w:t>
            </w:r>
          </w:p>
        </w:tc>
        <w:tc>
          <w:tcPr>
            <w:tcW w:type="dxa" w:w="4939"/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Approved target; do not present it as achieved value.</w:t>
            </w:r>
          </w:p>
        </w:tc>
      </w:tr>
      <w:tr>
        <w:trPr>
          <w:cantSplit/>
        </w:trPr>
        <w:tc>
          <w:tcPr>
            <w:tcW w:type="dxa" w:w="4939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The current UAT completion is 92%.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Not available in this source; obtain current readiness evidence.</w:t>
            </w:r>
          </w:p>
        </w:tc>
      </w:tr>
      <w:tr>
        <w:trPr>
          <w:cantSplit/>
        </w:trPr>
        <w:tc>
          <w:tcPr>
            <w:tcW w:type="dxa" w:w="4939"/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The migration sign-off owner is Elena Novak.</w:t>
            </w:r>
          </w:p>
        </w:tc>
        <w:tc>
          <w:tcPr>
            <w:tcW w:type="dxa" w:w="4939"/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Unsupported; owner remains Not confirmed.</w:t>
            </w:r>
          </w:p>
        </w:tc>
      </w:tr>
      <w:tr>
        <w:trPr>
          <w:cantSplit/>
        </w:trPr>
        <w:tc>
          <w:tcPr>
            <w:tcW w:type="dxa" w:w="4939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The programme is ready to launch.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b w:val="0"/>
                <w:i w:val="0"/>
                <w:color w:val="1F2933"/>
                <w:sz w:val="17"/>
              </w:rPr>
              <w:t>Not supported by this brief; assess every release gate.</w:t>
            </w:r>
          </w:p>
        </w:tc>
      </w:tr>
    </w:tbl>
    <w:p>
      <w:pPr>
        <w:pStyle w:val="Heading1"/>
      </w:pPr>
      <w:r>
        <w:t>9. Questions before slide creation</w:t>
      </w:r>
    </w:p>
    <w:p>
      <w:pPr>
        <w:pStyle w:val="ListNumber"/>
      </w:pPr>
      <w:r>
        <w:t>Which source contains the latest approved launch date?</w:t>
      </w:r>
    </w:p>
    <w:p>
      <w:pPr>
        <w:pStyle w:val="ListNumber"/>
      </w:pPr>
      <w:r>
        <w:t>Which file is authoritative for current readiness metrics?</w:t>
      </w:r>
    </w:p>
    <w:p>
      <w:pPr>
        <w:pStyle w:val="ListNumber"/>
      </w:pPr>
      <w:r>
        <w:t>Which meeting statements are proposals rather than decisions?</w:t>
      </w:r>
    </w:p>
    <w:p>
      <w:pPr>
        <w:pStyle w:val="ListNumber"/>
      </w:pPr>
      <w:r>
        <w:t>What evidence is still missing, and who must provide it?</w:t>
      </w:r>
    </w:p>
    <w:p>
      <w:pPr>
        <w:pStyle w:val="ListNumber"/>
      </w:pPr>
      <w:r>
        <w:t>Which claims must be labelled target, forecast or Not confirmed?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DECEC"/>
          <w:left w:val="single" w:sz="6" w:color="FDECEC"/>
          <w:bottom w:val="single" w:sz="6" w:color="FDECEC"/>
          <w:right w:val="single" w:sz="6" w:color="FDECEC"/>
          <w:insideH w:val="single" w:sz="6" w:color="FDECEC"/>
          <w:insideV w:val="single" w:sz="6" w:color="FDECEC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r>
              <w:rPr>
                <w:rFonts w:ascii="Aptos" w:hAnsi="Aptos"/>
                <w:b/>
                <w:i w:val="0"/>
                <w:color w:val="A33A3A"/>
                <w:sz w:val="17"/>
              </w:rPr>
              <w:t>HANDOFF TO THE NEXT SOURCE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Use the Readiness Tracker for current metrics, the Meeting Notes for statements and proposals, and the approved Change Notice for the one named field it overrides.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7D98"/>
        <w:sz w:val="16"/>
      </w:rPr>
      <w:t>DATech  |  Participant workshop material  | 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8208"/>
      <w:gridCol w:w="1613"/>
    </w:tblGrid>
    <w:tr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ptos" w:hAnsi="Aptos"/>
              <w:b/>
              <w:i w:val="0"/>
              <w:color w:val="627D98"/>
              <w:sz w:val="17"/>
            </w:rPr>
            <w:t>Microsoft Copilot Labs  |  Project Northstar Project Brief</w:t>
          </w:r>
        </w:p>
      </w:tc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13232" cy="36490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 logo copy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36490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65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