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Aptos" w:hAnsi="Aptos"/>
          <w:b/>
          <w:i w:val="0"/>
          <w:color w:val="2563EB"/>
          <w:sz w:val="18"/>
        </w:rPr>
        <w:t>LAB 6 APPROVED CREATION SOURCE</w:t>
      </w:r>
    </w:p>
    <w:p>
      <w:pPr>
        <w:spacing w:after="100"/>
      </w:pPr>
      <w:r>
        <w:rPr>
          <w:rFonts w:ascii="Aptos" w:hAnsi="Aptos"/>
          <w:b/>
          <w:i w:val="0"/>
          <w:color w:val="102A43"/>
          <w:sz w:val="52"/>
        </w:rPr>
        <w:t>Project Northstar - Verified Decision Brief</w:t>
      </w:r>
    </w:p>
    <w:p>
      <w:pPr>
        <w:spacing w:after="300"/>
      </w:pPr>
      <w:r>
        <w:rPr>
          <w:rFonts w:ascii="Aptos" w:hAnsi="Aptos"/>
          <w:b w:val="0"/>
          <w:i w:val="0"/>
          <w:color w:val="486581"/>
          <w:sz w:val="25"/>
        </w:rPr>
        <w:t>The controlled Word source for creating the steering committee presentation</w:t>
      </w:r>
    </w:p>
    <w:tbl>
      <w:tblPr>
        <w:tblW w:type="dxa" w:w="9820"/>
        <w:jc w:val="left"/>
        <w:tblLayout w:type="fixed"/>
        <w:tblLook w:firstColumn="1" w:firstRow="1" w:lastColumn="0" w:lastRow="0" w:noHBand="0" w:noVBand="1" w:val="04A0"/>
        <w:tblInd w:w="120" w:type="dxa"/>
        <w:tblBorders>
          <w:top w:val="single" w:sz="6" w:color="C9D9F2"/>
          <w:left w:val="single" w:sz="6" w:color="C9D9F2"/>
          <w:bottom w:val="single" w:sz="6" w:color="C9D9F2"/>
          <w:right w:val="single" w:sz="6" w:color="C9D9F2"/>
          <w:insideH w:val="single" w:sz="6" w:color="C9D9F2"/>
          <w:insideV w:val="single" w:sz="6" w:color="C9D9F2"/>
        </w:tblBorders>
      </w:tblPr>
      <w:tblGrid>
        <w:gridCol w:w="3293"/>
        <w:gridCol w:w="3293"/>
        <w:gridCol w:w="3293"/>
      </w:tblGrid>
      <w:tr>
        <w:tc>
          <w:tcPr>
            <w:tcW w:type="dxa" w:w="3274"/>
            <w:tcMar>
              <w:top w:w="80" w:type="dxa"/>
              <w:start w:w="120" w:type="dxa"/>
              <w:bottom w:w="80" w:type="dxa"/>
              <w:end w:w="120" w:type="dxa"/>
            </w:tcMar>
            <w:shd w:fill="EAF2FF"/>
          </w:tcPr>
          <w:p>
            <w:pPr>
              <w:jc w:val="center"/>
            </w:pPr>
            <w:r>
              <w:rPr>
                <w:rFonts w:ascii="Aptos" w:hAnsi="Aptos"/>
                <w:b/>
                <w:i w:val="0"/>
                <w:color w:val="2563EB"/>
                <w:sz w:val="16"/>
              </w:rPr>
              <w:t>VERSION</w:t>
              <w:br/>
            </w:r>
            <w:r>
              <w:rPr>
                <w:rFonts w:ascii="Aptos" w:hAnsi="Aptos"/>
                <w:b/>
                <w:i w:val="0"/>
                <w:color w:val="102A43"/>
                <w:sz w:val="20"/>
              </w:rPr>
              <w:t>1.1</w:t>
            </w:r>
          </w:p>
        </w:tc>
        <w:tc>
          <w:tcPr>
            <w:tcW w:type="dxa" w:w="3274"/>
            <w:tcMar>
              <w:top w:w="80" w:type="dxa"/>
              <w:start w:w="120" w:type="dxa"/>
              <w:bottom w:w="80" w:type="dxa"/>
              <w:end w:w="120" w:type="dxa"/>
            </w:tcMar>
            <w:shd w:fill="EAF2FF"/>
          </w:tcPr>
          <w:p>
            <w:pPr>
              <w:jc w:val="center"/>
            </w:pPr>
            <w:r>
              <w:rPr>
                <w:rFonts w:ascii="Aptos" w:hAnsi="Aptos"/>
                <w:b/>
                <w:i w:val="0"/>
                <w:color w:val="2563EB"/>
                <w:sz w:val="16"/>
              </w:rPr>
              <w:t>CUT-OFF</w:t>
              <w:br/>
            </w:r>
            <w:r>
              <w:rPr>
                <w:rFonts w:ascii="Aptos" w:hAnsi="Aptos"/>
                <w:b/>
                <w:i w:val="0"/>
                <w:color w:val="102A43"/>
                <w:sz w:val="20"/>
              </w:rPr>
              <w:t>27 August 2026</w:t>
            </w:r>
          </w:p>
        </w:tc>
        <w:tc>
          <w:tcPr>
            <w:tcW w:type="dxa" w:w="3274"/>
            <w:tcMar>
              <w:top w:w="80" w:type="dxa"/>
              <w:start w:w="120" w:type="dxa"/>
              <w:bottom w:w="80" w:type="dxa"/>
              <w:end w:w="120" w:type="dxa"/>
            </w:tcMar>
            <w:shd w:fill="EAF2FF"/>
          </w:tcPr>
          <w:p>
            <w:pPr>
              <w:jc w:val="center"/>
            </w:pPr>
            <w:r>
              <w:rPr>
                <w:rFonts w:ascii="Aptos" w:hAnsi="Aptos"/>
                <w:b/>
                <w:i w:val="0"/>
                <w:color w:val="2563EB"/>
                <w:sz w:val="16"/>
              </w:rPr>
              <w:t>PURPOSE</w:t>
              <w:br/>
            </w:r>
            <w:r>
              <w:rPr>
                <w:rFonts w:ascii="Aptos" w:hAnsi="Aptos"/>
                <w:b/>
                <w:i w:val="0"/>
                <w:color w:val="102A43"/>
                <w:sz w:val="20"/>
              </w:rPr>
              <w:t>Presentation creation</w:t>
            </w:r>
          </w:p>
        </w:tc>
      </w:tr>
    </w:tbl>
    <w:p>
      <w:pPr>
        <w:spacing w:after="40"/>
      </w:pPr>
    </w:p>
    <w:tbl>
      <w:tblPr>
        <w:tblW w:type="dxa" w:w="9820"/>
        <w:jc w:val="left"/>
        <w:tblLayout w:type="fixed"/>
        <w:tblLook w:firstColumn="1" w:firstRow="1" w:lastColumn="0" w:lastRow="0" w:noHBand="0" w:noVBand="1" w:val="04A0"/>
        <w:tblInd w:w="120" w:type="dxa"/>
        <w:tblBorders>
          <w:top w:val="single" w:sz="6" w:color="FDECEC"/>
          <w:left w:val="single" w:sz="6" w:color="FDECEC"/>
          <w:bottom w:val="single" w:sz="6" w:color="FDECEC"/>
          <w:right w:val="single" w:sz="6" w:color="FDECEC"/>
          <w:insideH w:val="single" w:sz="6" w:color="FDECEC"/>
          <w:insideV w:val="single" w:sz="6" w:color="FDECEC"/>
        </w:tblBorders>
      </w:tblPr>
      <w:tblGrid>
        <w:gridCol w:w="9878"/>
      </w:tblGrid>
      <w:tr>
        <w:tc>
          <w:tcPr>
            <w:tcW w:type="dxa" w:w="9821"/>
            <w:tcMar>
              <w:top w:w="80" w:type="dxa"/>
              <w:start w:w="120" w:type="dxa"/>
              <w:bottom w:w="80" w:type="dxa"/>
              <w:end w:w="120" w:type="dxa"/>
            </w:tcMar>
            <w:shd w:fill="FDECEC"/>
          </w:tcPr>
          <w:p>
            <w:r>
              <w:rPr>
                <w:rFonts w:ascii="Aptos" w:hAnsi="Aptos"/>
                <w:b/>
                <w:i w:val="0"/>
                <w:color w:val="A33A3A"/>
                <w:sz w:val="17"/>
              </w:rPr>
              <w:t>AUTHORITATIVE CREATION SOURCE</w:t>
              <w:br/>
            </w:r>
            <w:r>
              <w:rPr>
                <w:rFonts w:ascii="Aptos" w:hAnsi="Aptos"/>
                <w:b w:val="0"/>
                <w:i w:val="0"/>
                <w:color w:val="1F2933"/>
                <w:sz w:val="20"/>
              </w:rPr>
              <w:t>Create the PowerPoint from this verified brief. Use the other files for audit and traceability, not as permission to add unsupported content.</w:t>
            </w:r>
          </w:p>
        </w:tc>
      </w:tr>
    </w:tbl>
    <w:p>
      <w:pPr>
        <w:spacing w:after="20"/>
      </w:pPr>
    </w:p>
    <w:p>
      <w:pPr>
        <w:pStyle w:val="Heading1"/>
      </w:pPr>
      <w:r>
        <w:t>1. Decision required</w:t>
      </w:r>
    </w:p>
    <w:p>
      <w:r>
        <w:t>The Steering Committee must decide whether to approve a conditional pilot launch on 29 September 2026, delay the pilot, or reject the launch. The working recommendation is Conditional Go, but it remains a proposal until the committee approves it.</w:t>
      </w:r>
    </w:p>
    <w:p>
      <w:pPr>
        <w:pStyle w:val="Heading1"/>
      </w:pPr>
      <w:r>
        <w:t>2. Executive readiness summary</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2469"/>
        <w:gridCol w:w="2469"/>
        <w:gridCol w:w="2469"/>
        <w:gridCol w:w="2469"/>
      </w:tblGrid>
      <w:tr>
        <w:trPr>
          <w:tblHeader w:val="true"/>
          <w:cantSplit/>
        </w:trPr>
        <w:tc>
          <w:tcPr>
            <w:tcW w:type="dxa" w:w="1656"/>
            <w:tcMar>
              <w:top w:w="80" w:type="dxa"/>
              <w:start w:w="120" w:type="dxa"/>
              <w:bottom w:w="80" w:type="dxa"/>
              <w:end w:w="120" w:type="dxa"/>
            </w:tcMar>
            <w:shd w:fill="102A43"/>
          </w:tcPr>
          <w:p>
            <w:r>
              <w:rPr>
                <w:rFonts w:ascii="Aptos" w:hAnsi="Aptos"/>
                <w:b/>
                <w:i w:val="0"/>
                <w:color w:val="FFFFFF"/>
                <w:sz w:val="17"/>
              </w:rPr>
              <w:t>Area</w:t>
            </w:r>
          </w:p>
        </w:tc>
        <w:tc>
          <w:tcPr>
            <w:tcW w:type="dxa" w:w="3816"/>
            <w:tcMar>
              <w:top w:w="80" w:type="dxa"/>
              <w:start w:w="120" w:type="dxa"/>
              <w:bottom w:w="80" w:type="dxa"/>
              <w:end w:w="120" w:type="dxa"/>
            </w:tcMar>
            <w:shd w:fill="102A43"/>
          </w:tcPr>
          <w:p>
            <w:r>
              <w:rPr>
                <w:rFonts w:ascii="Aptos" w:hAnsi="Aptos"/>
                <w:b/>
                <w:i w:val="0"/>
                <w:color w:val="FFFFFF"/>
                <w:sz w:val="17"/>
              </w:rPr>
              <w:t>Current evidence</w:t>
            </w:r>
          </w:p>
        </w:tc>
        <w:tc>
          <w:tcPr>
            <w:tcW w:type="dxa" w:w="2664"/>
            <w:tcMar>
              <w:top w:w="80" w:type="dxa"/>
              <w:start w:w="120" w:type="dxa"/>
              <w:bottom w:w="80" w:type="dxa"/>
              <w:end w:w="120" w:type="dxa"/>
            </w:tcMar>
            <w:shd w:fill="102A43"/>
          </w:tcPr>
          <w:p>
            <w:r>
              <w:rPr>
                <w:rFonts w:ascii="Aptos" w:hAnsi="Aptos"/>
                <w:b/>
                <w:i w:val="0"/>
                <w:color w:val="FFFFFF"/>
                <w:sz w:val="17"/>
              </w:rPr>
              <w:t>Gate</w:t>
            </w:r>
          </w:p>
        </w:tc>
        <w:tc>
          <w:tcPr>
            <w:tcW w:type="dxa" w:w="1685"/>
            <w:tcMar>
              <w:top w:w="80" w:type="dxa"/>
              <w:start w:w="120" w:type="dxa"/>
              <w:bottom w:w="80" w:type="dxa"/>
              <w:end w:w="120" w:type="dxa"/>
            </w:tcMar>
            <w:shd w:fill="102A43"/>
          </w:tcPr>
          <w:p>
            <w:r>
              <w:rPr>
                <w:rFonts w:ascii="Aptos" w:hAnsi="Aptos"/>
                <w:b/>
                <w:i w:val="0"/>
                <w:color w:val="FFFFFF"/>
                <w:sz w:val="17"/>
              </w:rPr>
              <w:t>Assessment</w:t>
            </w:r>
          </w:p>
        </w:tc>
      </w:tr>
      <w:tr>
        <w:trPr>
          <w:cantSplit/>
        </w:trPr>
        <w:tc>
          <w:tcPr>
            <w:tcW w:type="dxa" w:w="2469"/>
          </w:tcPr>
          <w:p>
            <w:r>
              <w:rPr>
                <w:rFonts w:ascii="Aptos" w:hAnsi="Aptos"/>
                <w:b w:val="0"/>
                <w:i w:val="0"/>
                <w:color w:val="1F2933"/>
                <w:sz w:val="17"/>
              </w:rPr>
              <w:t>UAT</w:t>
            </w:r>
          </w:p>
        </w:tc>
        <w:tc>
          <w:tcPr>
            <w:tcW w:type="dxa" w:w="2469"/>
          </w:tcPr>
          <w:p>
            <w:r>
              <w:rPr>
                <w:rFonts w:ascii="Aptos" w:hAnsi="Aptos"/>
                <w:b w:val="0"/>
                <w:i w:val="0"/>
                <w:color w:val="1F2933"/>
                <w:sz w:val="17"/>
              </w:rPr>
              <w:t>184/200 tests complete (92%); 4 Severity 1 defects open</w:t>
            </w:r>
          </w:p>
        </w:tc>
        <w:tc>
          <w:tcPr>
            <w:tcW w:type="dxa" w:w="2469"/>
          </w:tcPr>
          <w:p>
            <w:r>
              <w:rPr>
                <w:rFonts w:ascii="Aptos" w:hAnsi="Aptos"/>
                <w:b w:val="0"/>
                <w:i w:val="0"/>
                <w:color w:val="1F2933"/>
                <w:sz w:val="17"/>
              </w:rPr>
              <w:t>No open Severity 1 defects</w:t>
            </w:r>
          </w:p>
        </w:tc>
        <w:tc>
          <w:tcPr>
            <w:tcW w:type="dxa" w:w="2469"/>
          </w:tcPr>
          <w:p>
            <w:r>
              <w:rPr>
                <w:rFonts w:ascii="Aptos" w:hAnsi="Aptos"/>
                <w:b w:val="0"/>
                <w:i w:val="0"/>
                <w:color w:val="1F2933"/>
                <w:sz w:val="17"/>
              </w:rPr>
              <w:t>Not ready</w:t>
            </w:r>
          </w:p>
        </w:tc>
      </w:tr>
      <w:tr>
        <w:trPr>
          <w:cantSplit/>
        </w:trPr>
        <w:tc>
          <w:tcPr>
            <w:tcW w:type="dxa" w:w="2469"/>
            <w:shd w:fill="F4F7FA"/>
          </w:tcPr>
          <w:p>
            <w:r>
              <w:rPr>
                <w:rFonts w:ascii="Aptos" w:hAnsi="Aptos"/>
                <w:b w:val="0"/>
                <w:i w:val="0"/>
                <w:color w:val="1F2933"/>
                <w:sz w:val="17"/>
              </w:rPr>
              <w:t>Security</w:t>
            </w:r>
          </w:p>
        </w:tc>
        <w:tc>
          <w:tcPr>
            <w:tcW w:type="dxa" w:w="2469"/>
            <w:shd w:fill="F4F7FA"/>
          </w:tcPr>
          <w:p>
            <w:r>
              <w:rPr>
                <w:rFonts w:ascii="Aptos" w:hAnsi="Aptos"/>
                <w:b w:val="0"/>
                <w:i w:val="0"/>
                <w:color w:val="1F2933"/>
                <w:sz w:val="17"/>
              </w:rPr>
              <w:t>Retest booked for 10 Sep; external access not approved</w:t>
            </w:r>
          </w:p>
        </w:tc>
        <w:tc>
          <w:tcPr>
            <w:tcW w:type="dxa" w:w="2469"/>
            <w:shd w:fill="F4F7FA"/>
          </w:tcPr>
          <w:p>
            <w:r>
              <w:rPr>
                <w:rFonts w:ascii="Aptos" w:hAnsi="Aptos"/>
                <w:b w:val="0"/>
                <w:i w:val="0"/>
                <w:color w:val="1F2933"/>
                <w:sz w:val="17"/>
              </w:rPr>
              <w:t>Retest passed or restriction approved</w:t>
            </w:r>
          </w:p>
        </w:tc>
        <w:tc>
          <w:tcPr>
            <w:tcW w:type="dxa" w:w="2469"/>
            <w:shd w:fill="F4F7FA"/>
          </w:tcPr>
          <w:p>
            <w:r>
              <w:rPr>
                <w:rFonts w:ascii="Aptos" w:hAnsi="Aptos"/>
                <w:b w:val="0"/>
                <w:i w:val="0"/>
                <w:color w:val="1F2933"/>
                <w:sz w:val="17"/>
              </w:rPr>
              <w:t>Conditional</w:t>
            </w:r>
          </w:p>
        </w:tc>
      </w:tr>
      <w:tr>
        <w:trPr>
          <w:cantSplit/>
        </w:trPr>
        <w:tc>
          <w:tcPr>
            <w:tcW w:type="dxa" w:w="2469"/>
          </w:tcPr>
          <w:p>
            <w:r>
              <w:rPr>
                <w:rFonts w:ascii="Aptos" w:hAnsi="Aptos"/>
                <w:b w:val="0"/>
                <w:i w:val="0"/>
                <w:color w:val="1F2933"/>
                <w:sz w:val="17"/>
              </w:rPr>
              <w:t>Migration</w:t>
            </w:r>
          </w:p>
        </w:tc>
        <w:tc>
          <w:tcPr>
            <w:tcW w:type="dxa" w:w="2469"/>
          </w:tcPr>
          <w:p>
            <w:r>
              <w:rPr>
                <w:rFonts w:ascii="Aptos" w:hAnsi="Aptos"/>
                <w:b w:val="0"/>
                <w:i w:val="0"/>
                <w:color w:val="1F2933"/>
                <w:sz w:val="17"/>
              </w:rPr>
              <w:t>215/250 supplier records validated (86%)</w:t>
            </w:r>
          </w:p>
        </w:tc>
        <w:tc>
          <w:tcPr>
            <w:tcW w:type="dxa" w:w="2469"/>
          </w:tcPr>
          <w:p>
            <w:r>
              <w:rPr>
                <w:rFonts w:ascii="Aptos" w:hAnsi="Aptos"/>
                <w:b w:val="0"/>
                <w:i w:val="0"/>
                <w:color w:val="1F2933"/>
                <w:sz w:val="17"/>
              </w:rPr>
              <w:t>250/250 validated</w:t>
            </w:r>
          </w:p>
        </w:tc>
        <w:tc>
          <w:tcPr>
            <w:tcW w:type="dxa" w:w="2469"/>
          </w:tcPr>
          <w:p>
            <w:r>
              <w:rPr>
                <w:rFonts w:ascii="Aptos" w:hAnsi="Aptos"/>
                <w:b w:val="0"/>
                <w:i w:val="0"/>
                <w:color w:val="1F2933"/>
                <w:sz w:val="17"/>
              </w:rPr>
              <w:t>Not ready</w:t>
            </w:r>
          </w:p>
        </w:tc>
      </w:tr>
      <w:tr>
        <w:trPr>
          <w:cantSplit/>
        </w:trPr>
        <w:tc>
          <w:tcPr>
            <w:tcW w:type="dxa" w:w="2469"/>
            <w:shd w:fill="F4F7FA"/>
          </w:tcPr>
          <w:p>
            <w:r>
              <w:rPr>
                <w:rFonts w:ascii="Aptos" w:hAnsi="Aptos"/>
                <w:b w:val="0"/>
                <w:i w:val="0"/>
                <w:color w:val="1F2933"/>
                <w:sz w:val="17"/>
              </w:rPr>
              <w:t>Training</w:t>
            </w:r>
          </w:p>
        </w:tc>
        <w:tc>
          <w:tcPr>
            <w:tcW w:type="dxa" w:w="2469"/>
            <w:shd w:fill="F4F7FA"/>
          </w:tcPr>
          <w:p>
            <w:r>
              <w:rPr>
                <w:rFonts w:ascii="Aptos" w:hAnsi="Aptos"/>
                <w:b w:val="0"/>
                <w:i w:val="0"/>
                <w:color w:val="1F2933"/>
                <w:sz w:val="17"/>
              </w:rPr>
              <w:t>36/50 users trained (72%)</w:t>
            </w:r>
          </w:p>
        </w:tc>
        <w:tc>
          <w:tcPr>
            <w:tcW w:type="dxa" w:w="2469"/>
            <w:shd w:fill="F4F7FA"/>
          </w:tcPr>
          <w:p>
            <w:r>
              <w:rPr>
                <w:rFonts w:ascii="Aptos" w:hAnsi="Aptos"/>
                <w:b w:val="0"/>
                <w:i w:val="0"/>
                <w:color w:val="1F2933"/>
                <w:sz w:val="17"/>
              </w:rPr>
              <w:t>45/50 users trained (90%)</w:t>
            </w:r>
          </w:p>
        </w:tc>
        <w:tc>
          <w:tcPr>
            <w:tcW w:type="dxa" w:w="2469"/>
            <w:shd w:fill="F4F7FA"/>
          </w:tcPr>
          <w:p>
            <w:r>
              <w:rPr>
                <w:rFonts w:ascii="Aptos" w:hAnsi="Aptos"/>
                <w:b w:val="0"/>
                <w:i w:val="0"/>
                <w:color w:val="1F2933"/>
                <w:sz w:val="17"/>
              </w:rPr>
              <w:t>Not ready</w:t>
            </w:r>
          </w:p>
        </w:tc>
      </w:tr>
      <w:tr>
        <w:trPr>
          <w:cantSplit/>
        </w:trPr>
        <w:tc>
          <w:tcPr>
            <w:tcW w:type="dxa" w:w="2469"/>
          </w:tcPr>
          <w:p>
            <w:r>
              <w:rPr>
                <w:rFonts w:ascii="Aptos" w:hAnsi="Aptos"/>
                <w:b w:val="0"/>
                <w:i w:val="0"/>
                <w:color w:val="1F2933"/>
                <w:sz w:val="17"/>
              </w:rPr>
              <w:t>Operations</w:t>
            </w:r>
          </w:p>
        </w:tc>
        <w:tc>
          <w:tcPr>
            <w:tcW w:type="dxa" w:w="2469"/>
          </w:tcPr>
          <w:p>
            <w:r>
              <w:rPr>
                <w:rFonts w:ascii="Aptos" w:hAnsi="Aptos"/>
                <w:b w:val="0"/>
                <w:i w:val="0"/>
                <w:color w:val="1F2933"/>
                <w:sz w:val="17"/>
              </w:rPr>
              <w:t>Support owner not confirmed</w:t>
            </w:r>
          </w:p>
        </w:tc>
        <w:tc>
          <w:tcPr>
            <w:tcW w:type="dxa" w:w="2469"/>
          </w:tcPr>
          <w:p>
            <w:r>
              <w:rPr>
                <w:rFonts w:ascii="Aptos" w:hAnsi="Aptos"/>
                <w:b w:val="0"/>
                <w:i w:val="0"/>
                <w:color w:val="1F2933"/>
                <w:sz w:val="17"/>
              </w:rPr>
              <w:t>Owner and triage process confirmed</w:t>
            </w:r>
          </w:p>
        </w:tc>
        <w:tc>
          <w:tcPr>
            <w:tcW w:type="dxa" w:w="2469"/>
          </w:tcPr>
          <w:p>
            <w:r>
              <w:rPr>
                <w:rFonts w:ascii="Aptos" w:hAnsi="Aptos"/>
                <w:b w:val="0"/>
                <w:i w:val="0"/>
                <w:color w:val="1F2933"/>
                <w:sz w:val="17"/>
              </w:rPr>
              <w:t>Not ready</w:t>
            </w:r>
          </w:p>
        </w:tc>
      </w:tr>
    </w:tbl>
    <w:p>
      <w:pPr>
        <w:pStyle w:val="Heading1"/>
      </w:pPr>
      <w:r>
        <w:t>3. Scope and intended value</w:t>
      </w:r>
    </w:p>
    <w:p>
      <w:r>
        <w:t>The pilot scope remains unchanged: supplier intake, evidence collection, compliance workflow, bank-verification hand-off, status tracking and internal notifications for Procurement and Operations. SAP remains the system of record. The cycle-time and follow-up improvements are targets, not realised benefits.</w:t>
      </w:r>
    </w:p>
    <w:p>
      <w:pPr>
        <w:pStyle w:val="Heading1"/>
      </w:pPr>
      <w:r>
        <w:t>4. Financial position</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4939"/>
        <w:gridCol w:w="4939"/>
      </w:tblGrid>
      <w:tr>
        <w:tc>
          <w:tcPr>
            <w:tcW w:type="dxa" w:w="2664"/>
            <w:tcMar>
              <w:top w:w="80" w:type="dxa"/>
              <w:start w:w="120" w:type="dxa"/>
              <w:bottom w:w="80" w:type="dxa"/>
              <w:end w:w="120" w:type="dxa"/>
            </w:tcMar>
            <w:shd w:fill="EAF2FF"/>
          </w:tcPr>
          <w:p>
            <w:r>
              <w:rPr>
                <w:rFonts w:ascii="Aptos" w:hAnsi="Aptos"/>
                <w:b/>
                <w:i w:val="0"/>
                <w:color w:val="102A43"/>
                <w:sz w:val="18"/>
              </w:rPr>
              <w:t>Approved budget</w:t>
            </w:r>
          </w:p>
        </w:tc>
        <w:tc>
          <w:tcPr>
            <w:tcW w:type="dxa" w:w="7157"/>
            <w:tcMar>
              <w:top w:w="80" w:type="dxa"/>
              <w:start w:w="120" w:type="dxa"/>
              <w:bottom w:w="80" w:type="dxa"/>
              <w:end w:w="120" w:type="dxa"/>
            </w:tcMar>
          </w:tcPr>
          <w:p>
            <w:r>
              <w:t>EUR 240,000</w:t>
            </w:r>
          </w:p>
        </w:tc>
      </w:tr>
      <w:tr>
        <w:tc>
          <w:tcPr>
            <w:tcW w:type="dxa" w:w="2664"/>
            <w:tcMar>
              <w:top w:w="80" w:type="dxa"/>
              <w:start w:w="120" w:type="dxa"/>
              <w:bottom w:w="80" w:type="dxa"/>
              <w:end w:w="120" w:type="dxa"/>
            </w:tcMar>
            <w:shd w:fill="EAF2FF"/>
          </w:tcPr>
          <w:p>
            <w:r>
              <w:rPr>
                <w:rFonts w:ascii="Aptos" w:hAnsi="Aptos"/>
                <w:b/>
                <w:i w:val="0"/>
                <w:color w:val="102A43"/>
                <w:sz w:val="18"/>
              </w:rPr>
              <w:t>Spend to date</w:t>
            </w:r>
          </w:p>
        </w:tc>
        <w:tc>
          <w:tcPr>
            <w:tcW w:type="dxa" w:w="7157"/>
            <w:tcMar>
              <w:top w:w="80" w:type="dxa"/>
              <w:start w:w="120" w:type="dxa"/>
              <w:bottom w:w="80" w:type="dxa"/>
              <w:end w:w="120" w:type="dxa"/>
            </w:tcMar>
          </w:tcPr>
          <w:p>
            <w:r>
              <w:t>EUR 218,000</w:t>
            </w:r>
          </w:p>
        </w:tc>
      </w:tr>
      <w:tr>
        <w:tc>
          <w:tcPr>
            <w:tcW w:type="dxa" w:w="2664"/>
            <w:tcMar>
              <w:top w:w="80" w:type="dxa"/>
              <w:start w:w="120" w:type="dxa"/>
              <w:bottom w:w="80" w:type="dxa"/>
              <w:end w:w="120" w:type="dxa"/>
            </w:tcMar>
            <w:shd w:fill="EAF2FF"/>
          </w:tcPr>
          <w:p>
            <w:r>
              <w:rPr>
                <w:rFonts w:ascii="Aptos" w:hAnsi="Aptos"/>
                <w:b/>
                <w:i w:val="0"/>
                <w:color w:val="102A43"/>
                <w:sz w:val="18"/>
              </w:rPr>
              <w:t>Forecast at completion</w:t>
            </w:r>
          </w:p>
        </w:tc>
        <w:tc>
          <w:tcPr>
            <w:tcW w:type="dxa" w:w="7157"/>
            <w:tcMar>
              <w:top w:w="80" w:type="dxa"/>
              <w:start w:w="120" w:type="dxa"/>
              <w:bottom w:w="80" w:type="dxa"/>
              <w:end w:w="120" w:type="dxa"/>
            </w:tcMar>
          </w:tcPr>
          <w:p>
            <w:r>
              <w:t>EUR 252,000</w:t>
            </w:r>
          </w:p>
        </w:tc>
      </w:tr>
      <w:tr>
        <w:tc>
          <w:tcPr>
            <w:tcW w:type="dxa" w:w="2664"/>
            <w:tcMar>
              <w:top w:w="80" w:type="dxa"/>
              <w:start w:w="120" w:type="dxa"/>
              <w:bottom w:w="80" w:type="dxa"/>
              <w:end w:w="120" w:type="dxa"/>
            </w:tcMar>
            <w:shd w:fill="EAF2FF"/>
          </w:tcPr>
          <w:p>
            <w:r>
              <w:rPr>
                <w:rFonts w:ascii="Aptos" w:hAnsi="Aptos"/>
                <w:b/>
                <w:i w:val="0"/>
                <w:color w:val="102A43"/>
                <w:sz w:val="18"/>
              </w:rPr>
              <w:t>Forecast variance</w:t>
            </w:r>
          </w:p>
        </w:tc>
        <w:tc>
          <w:tcPr>
            <w:tcW w:type="dxa" w:w="7157"/>
            <w:tcMar>
              <w:top w:w="80" w:type="dxa"/>
              <w:start w:w="120" w:type="dxa"/>
              <w:bottom w:w="80" w:type="dxa"/>
              <w:end w:w="120" w:type="dxa"/>
            </w:tcMar>
          </w:tcPr>
          <w:p>
            <w:r>
              <w:t>EUR 12,000 over budget (5.0%)</w:t>
            </w:r>
          </w:p>
        </w:tc>
      </w:tr>
      <w:tr>
        <w:tc>
          <w:tcPr>
            <w:tcW w:type="dxa" w:w="2664"/>
            <w:tcMar>
              <w:top w:w="80" w:type="dxa"/>
              <w:start w:w="120" w:type="dxa"/>
              <w:bottom w:w="80" w:type="dxa"/>
              <w:end w:w="120" w:type="dxa"/>
            </w:tcMar>
            <w:shd w:fill="EAF2FF"/>
          </w:tcPr>
          <w:p>
            <w:r>
              <w:rPr>
                <w:rFonts w:ascii="Aptos" w:hAnsi="Aptos"/>
                <w:b/>
                <w:i w:val="0"/>
                <w:color w:val="102A43"/>
                <w:sz w:val="18"/>
              </w:rPr>
              <w:t>Weekly delay cost</w:t>
            </w:r>
          </w:p>
        </w:tc>
        <w:tc>
          <w:tcPr>
            <w:tcW w:type="dxa" w:w="7157"/>
            <w:tcMar>
              <w:top w:w="80" w:type="dxa"/>
              <w:start w:w="120" w:type="dxa"/>
              <w:bottom w:w="80" w:type="dxa"/>
              <w:end w:w="120" w:type="dxa"/>
            </w:tcMar>
          </w:tcPr>
          <w:p>
            <w:r>
              <w:t>Not confirmed - vendor statement only</w:t>
            </w:r>
          </w:p>
        </w:tc>
      </w:tr>
    </w:tbl>
    <w:p>
      <w:pPr>
        <w:pStyle w:val="Heading1"/>
      </w:pPr>
      <w:r>
        <w:t>5. Launch options for the committee</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3293"/>
        <w:gridCol w:w="3293"/>
        <w:gridCol w:w="3293"/>
      </w:tblGrid>
      <w:tr>
        <w:trPr>
          <w:tblHeader w:val="true"/>
          <w:cantSplit/>
        </w:trPr>
        <w:tc>
          <w:tcPr>
            <w:tcW w:type="dxa" w:w="2232"/>
            <w:tcMar>
              <w:top w:w="80" w:type="dxa"/>
              <w:start w:w="120" w:type="dxa"/>
              <w:bottom w:w="80" w:type="dxa"/>
              <w:end w:w="120" w:type="dxa"/>
            </w:tcMar>
            <w:shd w:fill="102A43"/>
          </w:tcPr>
          <w:p>
            <w:r>
              <w:rPr>
                <w:rFonts w:ascii="Aptos" w:hAnsi="Aptos"/>
                <w:b/>
                <w:i w:val="0"/>
                <w:color w:val="FFFFFF"/>
                <w:sz w:val="17"/>
              </w:rPr>
              <w:t>Option</w:t>
            </w:r>
          </w:p>
        </w:tc>
        <w:tc>
          <w:tcPr>
            <w:tcW w:type="dxa" w:w="5688"/>
            <w:tcMar>
              <w:top w:w="80" w:type="dxa"/>
              <w:start w:w="120" w:type="dxa"/>
              <w:bottom w:w="80" w:type="dxa"/>
              <w:end w:w="120" w:type="dxa"/>
            </w:tcMar>
            <w:shd w:fill="102A43"/>
          </w:tcPr>
          <w:p>
            <w:r>
              <w:rPr>
                <w:rFonts w:ascii="Aptos" w:hAnsi="Aptos"/>
                <w:b/>
                <w:i w:val="0"/>
                <w:color w:val="FFFFFF"/>
                <w:sz w:val="17"/>
              </w:rPr>
              <w:t>Conditions / consequence</w:t>
            </w:r>
          </w:p>
        </w:tc>
        <w:tc>
          <w:tcPr>
            <w:tcW w:type="dxa" w:w="1901"/>
            <w:tcMar>
              <w:top w:w="80" w:type="dxa"/>
              <w:start w:w="120" w:type="dxa"/>
              <w:bottom w:w="80" w:type="dxa"/>
              <w:end w:w="120" w:type="dxa"/>
            </w:tcMar>
            <w:shd w:fill="102A43"/>
          </w:tcPr>
          <w:p>
            <w:r>
              <w:rPr>
                <w:rFonts w:ascii="Aptos" w:hAnsi="Aptos"/>
                <w:b/>
                <w:i w:val="0"/>
                <w:color w:val="FFFFFF"/>
                <w:sz w:val="17"/>
              </w:rPr>
              <w:t>Evidence status</w:t>
            </w:r>
          </w:p>
        </w:tc>
      </w:tr>
      <w:tr>
        <w:trPr>
          <w:cantSplit/>
        </w:trPr>
        <w:tc>
          <w:tcPr>
            <w:tcW w:type="dxa" w:w="3293"/>
          </w:tcPr>
          <w:p>
            <w:r>
              <w:rPr>
                <w:rFonts w:ascii="Aptos" w:hAnsi="Aptos"/>
                <w:b w:val="0"/>
                <w:i w:val="0"/>
                <w:color w:val="1F2933"/>
                <w:sz w:val="17"/>
              </w:rPr>
              <w:t>A. Conditional Go - 29 Sep</w:t>
            </w:r>
          </w:p>
        </w:tc>
        <w:tc>
          <w:tcPr>
            <w:tcW w:type="dxa" w:w="3293"/>
          </w:tcPr>
          <w:p>
            <w:r>
              <w:rPr>
                <w:rFonts w:ascii="Aptos" w:hAnsi="Aptos"/>
                <w:b w:val="0"/>
                <w:i w:val="0"/>
                <w:color w:val="1F2933"/>
                <w:sz w:val="17"/>
              </w:rPr>
              <w:t>Proceed only if all Severity 1 defects close, security restriction is approved, migration reaches 250/250, training reaches 45/50 and a support owner is confirmed.</w:t>
            </w:r>
          </w:p>
        </w:tc>
        <w:tc>
          <w:tcPr>
            <w:tcW w:type="dxa" w:w="3293"/>
          </w:tcPr>
          <w:p>
            <w:r>
              <w:rPr>
                <w:rFonts w:ascii="Aptos" w:hAnsi="Aptos"/>
                <w:b w:val="0"/>
                <w:i w:val="0"/>
                <w:color w:val="1F2933"/>
                <w:sz w:val="17"/>
              </w:rPr>
              <w:t>Working recommendation; not approved</w:t>
            </w:r>
          </w:p>
        </w:tc>
      </w:tr>
      <w:tr>
        <w:trPr>
          <w:cantSplit/>
        </w:trPr>
        <w:tc>
          <w:tcPr>
            <w:tcW w:type="dxa" w:w="3293"/>
            <w:shd w:fill="F4F7FA"/>
          </w:tcPr>
          <w:p>
            <w:r>
              <w:rPr>
                <w:rFonts w:ascii="Aptos" w:hAnsi="Aptos"/>
                <w:b w:val="0"/>
                <w:i w:val="0"/>
                <w:color w:val="1F2933"/>
                <w:sz w:val="17"/>
              </w:rPr>
              <w:t>B. Delay</w:t>
            </w:r>
          </w:p>
        </w:tc>
        <w:tc>
          <w:tcPr>
            <w:tcW w:type="dxa" w:w="3293"/>
            <w:shd w:fill="F4F7FA"/>
          </w:tcPr>
          <w:p>
            <w:r>
              <w:rPr>
                <w:rFonts w:ascii="Aptos" w:hAnsi="Aptos"/>
                <w:b w:val="0"/>
                <w:i w:val="0"/>
                <w:color w:val="1F2933"/>
                <w:sz w:val="17"/>
              </w:rPr>
              <w:t>Move the pilot again if any release gate remains unmet. Financial impact cannot be quantified from approved evidence.</w:t>
            </w:r>
          </w:p>
        </w:tc>
        <w:tc>
          <w:tcPr>
            <w:tcW w:type="dxa" w:w="3293"/>
            <w:shd w:fill="F4F7FA"/>
          </w:tcPr>
          <w:p>
            <w:r>
              <w:rPr>
                <w:rFonts w:ascii="Aptos" w:hAnsi="Aptos"/>
                <w:b w:val="0"/>
                <w:i w:val="0"/>
                <w:color w:val="1F2933"/>
                <w:sz w:val="17"/>
              </w:rPr>
              <w:t>Available option</w:t>
            </w:r>
          </w:p>
        </w:tc>
      </w:tr>
      <w:tr>
        <w:trPr>
          <w:cantSplit/>
        </w:trPr>
        <w:tc>
          <w:tcPr>
            <w:tcW w:type="dxa" w:w="3293"/>
          </w:tcPr>
          <w:p>
            <w:r>
              <w:rPr>
                <w:rFonts w:ascii="Aptos" w:hAnsi="Aptos"/>
                <w:b w:val="0"/>
                <w:i w:val="0"/>
                <w:color w:val="1F2933"/>
                <w:sz w:val="17"/>
              </w:rPr>
              <w:t>C. No Go</w:t>
            </w:r>
          </w:p>
        </w:tc>
        <w:tc>
          <w:tcPr>
            <w:tcW w:type="dxa" w:w="3293"/>
          </w:tcPr>
          <w:p>
            <w:r>
              <w:rPr>
                <w:rFonts w:ascii="Aptos" w:hAnsi="Aptos"/>
                <w:b w:val="0"/>
                <w:i w:val="0"/>
                <w:color w:val="1F2933"/>
                <w:sz w:val="17"/>
              </w:rPr>
              <w:t>Do not launch the pilot and return the programme for replanning.</w:t>
            </w:r>
          </w:p>
        </w:tc>
        <w:tc>
          <w:tcPr>
            <w:tcW w:type="dxa" w:w="3293"/>
          </w:tcPr>
          <w:p>
            <w:r>
              <w:rPr>
                <w:rFonts w:ascii="Aptos" w:hAnsi="Aptos"/>
                <w:b w:val="0"/>
                <w:i w:val="0"/>
                <w:color w:val="1F2933"/>
                <w:sz w:val="17"/>
              </w:rPr>
              <w:t>Available option</w:t>
            </w:r>
          </w:p>
        </w:tc>
      </w:tr>
    </w:tbl>
    <w:p>
      <w:pPr>
        <w:pStyle w:val="Heading1"/>
      </w:pPr>
      <w:r>
        <w:t>6. Risks and unresolved evidence</w:t>
      </w:r>
    </w:p>
    <w:p>
      <w:pPr>
        <w:pStyle w:val="ListBullet"/>
      </w:pPr>
      <w:r>
        <w:t>Four Severity 1 defects are open; the 8 September closure date is a forecast.</w:t>
      </w:r>
    </w:p>
    <w:p>
      <w:pPr>
        <w:pStyle w:val="ListBullet"/>
      </w:pPr>
      <w:r>
        <w:t>External access is not approved before the security retest.</w:t>
      </w:r>
    </w:p>
    <w:p>
      <w:pPr>
        <w:pStyle w:val="ListBullet"/>
      </w:pPr>
      <w:r>
        <w:t>Thirty-five supplier records still require validation.</w:t>
      </w:r>
    </w:p>
    <w:p>
      <w:pPr>
        <w:pStyle w:val="ListBullet"/>
      </w:pPr>
      <w:r>
        <w:t>Nine additional users must complete training to reach the gate.</w:t>
      </w:r>
    </w:p>
    <w:p>
      <w:pPr>
        <w:pStyle w:val="ListBullet"/>
      </w:pPr>
      <w:r>
        <w:t>Migration sign-off owner and support owner are not confirmed.</w:t>
      </w:r>
    </w:p>
    <w:p>
      <w:pPr>
        <w:pStyle w:val="ListBullet"/>
      </w:pPr>
      <w:r>
        <w:t>The EUR 35,000 weekly delay estimate must not appear as a confirmed financial fact.</w:t>
      </w:r>
    </w:p>
    <w:p>
      <w:pPr>
        <w:pStyle w:val="Heading1"/>
      </w:pPr>
      <w:r>
        <w:t>7. Approved single-field change</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2469"/>
        <w:gridCol w:w="2469"/>
        <w:gridCol w:w="2469"/>
        <w:gridCol w:w="2469"/>
      </w:tblGrid>
      <w:tr>
        <w:trPr>
          <w:tblHeader w:val="true"/>
          <w:cantSplit/>
        </w:trPr>
        <w:tc>
          <w:tcPr>
            <w:tcW w:type="dxa" w:w="2808"/>
            <w:tcMar>
              <w:top w:w="80" w:type="dxa"/>
              <w:start w:w="120" w:type="dxa"/>
              <w:bottom w:w="80" w:type="dxa"/>
              <w:end w:w="120" w:type="dxa"/>
            </w:tcMar>
            <w:shd w:fill="102A43"/>
          </w:tcPr>
          <w:p>
            <w:r>
              <w:rPr>
                <w:rFonts w:ascii="Aptos" w:hAnsi="Aptos"/>
                <w:b/>
                <w:i w:val="0"/>
                <w:color w:val="FFFFFF"/>
                <w:sz w:val="17"/>
              </w:rPr>
              <w:t>Field</w:t>
            </w:r>
          </w:p>
        </w:tc>
        <w:tc>
          <w:tcPr>
            <w:tcW w:type="dxa" w:w="2232"/>
            <w:tcMar>
              <w:top w:w="80" w:type="dxa"/>
              <w:start w:w="120" w:type="dxa"/>
              <w:bottom w:w="80" w:type="dxa"/>
              <w:end w:w="120" w:type="dxa"/>
            </w:tcMar>
            <w:shd w:fill="102A43"/>
          </w:tcPr>
          <w:p>
            <w:r>
              <w:rPr>
                <w:rFonts w:ascii="Aptos" w:hAnsi="Aptos"/>
                <w:b/>
                <w:i w:val="0"/>
                <w:color w:val="FFFFFF"/>
                <w:sz w:val="17"/>
              </w:rPr>
              <w:t>Previous value</w:t>
            </w:r>
          </w:p>
        </w:tc>
        <w:tc>
          <w:tcPr>
            <w:tcW w:type="dxa" w:w="2232"/>
            <w:tcMar>
              <w:top w:w="80" w:type="dxa"/>
              <w:start w:w="120" w:type="dxa"/>
              <w:bottom w:w="80" w:type="dxa"/>
              <w:end w:w="120" w:type="dxa"/>
            </w:tcMar>
            <w:shd w:fill="102A43"/>
          </w:tcPr>
          <w:p>
            <w:r>
              <w:rPr>
                <w:rFonts w:ascii="Aptos" w:hAnsi="Aptos"/>
                <w:b/>
                <w:i w:val="0"/>
                <w:color w:val="FFFFFF"/>
                <w:sz w:val="17"/>
              </w:rPr>
              <w:t>Current value</w:t>
            </w:r>
          </w:p>
        </w:tc>
        <w:tc>
          <w:tcPr>
            <w:tcW w:type="dxa" w:w="2549"/>
            <w:tcMar>
              <w:top w:w="80" w:type="dxa"/>
              <w:start w:w="120" w:type="dxa"/>
              <w:bottom w:w="80" w:type="dxa"/>
              <w:end w:w="120" w:type="dxa"/>
            </w:tcMar>
            <w:shd w:fill="102A43"/>
          </w:tcPr>
          <w:p>
            <w:r>
              <w:rPr>
                <w:rFonts w:ascii="Aptos" w:hAnsi="Aptos"/>
                <w:b/>
                <w:i w:val="0"/>
                <w:color w:val="FFFFFF"/>
                <w:sz w:val="17"/>
              </w:rPr>
              <w:t>Authority</w:t>
            </w:r>
          </w:p>
        </w:tc>
      </w:tr>
      <w:tr>
        <w:trPr>
          <w:cantSplit/>
        </w:trPr>
        <w:tc>
          <w:tcPr>
            <w:tcW w:type="dxa" w:w="2469"/>
          </w:tcPr>
          <w:p>
            <w:r>
              <w:rPr>
                <w:rFonts w:ascii="Aptos" w:hAnsi="Aptos"/>
                <w:b w:val="0"/>
                <w:i w:val="0"/>
                <w:color w:val="1F2933"/>
                <w:sz w:val="17"/>
              </w:rPr>
              <w:t>Proposed pilot launch date</w:t>
            </w:r>
          </w:p>
        </w:tc>
        <w:tc>
          <w:tcPr>
            <w:tcW w:type="dxa" w:w="2469"/>
          </w:tcPr>
          <w:p>
            <w:r>
              <w:rPr>
                <w:rFonts w:ascii="Aptos" w:hAnsi="Aptos"/>
                <w:b w:val="0"/>
                <w:i w:val="0"/>
                <w:color w:val="1F2933"/>
                <w:sz w:val="17"/>
              </w:rPr>
              <w:t>15 September 2026</w:t>
            </w:r>
          </w:p>
        </w:tc>
        <w:tc>
          <w:tcPr>
            <w:tcW w:type="dxa" w:w="2469"/>
          </w:tcPr>
          <w:p>
            <w:r>
              <w:rPr>
                <w:rFonts w:ascii="Aptos" w:hAnsi="Aptos"/>
                <w:b w:val="0"/>
                <w:i w:val="0"/>
                <w:color w:val="1F2933"/>
                <w:sz w:val="17"/>
              </w:rPr>
              <w:t>29 September 2026</w:t>
            </w:r>
          </w:p>
        </w:tc>
        <w:tc>
          <w:tcPr>
            <w:tcW w:type="dxa" w:w="2469"/>
          </w:tcPr>
          <w:p>
            <w:r>
              <w:rPr>
                <w:rFonts w:ascii="Aptos" w:hAnsi="Aptos"/>
                <w:b w:val="0"/>
                <w:i w:val="0"/>
                <w:color w:val="1F2933"/>
                <w:sz w:val="17"/>
              </w:rPr>
              <w:t>Change Notice CN-NS-014, approved 27 Aug 2026</w:t>
            </w:r>
          </w:p>
        </w:tc>
      </w:tr>
    </w:tbl>
    <w:tbl>
      <w:tblPr>
        <w:tblW w:type="dxa" w:w="9820"/>
        <w:jc w:val="left"/>
        <w:tblLayout w:type="fixed"/>
        <w:tblLook w:firstColumn="1" w:firstRow="1" w:lastColumn="0" w:lastRow="0" w:noHBand="0" w:noVBand="1" w:val="04A0"/>
        <w:tblInd w:w="120" w:type="dxa"/>
        <w:tblBorders>
          <w:top w:val="single" w:sz="6" w:color="FFF5D6"/>
          <w:left w:val="single" w:sz="6" w:color="FFF5D6"/>
          <w:bottom w:val="single" w:sz="6" w:color="FFF5D6"/>
          <w:right w:val="single" w:sz="6" w:color="FFF5D6"/>
          <w:insideH w:val="single" w:sz="6" w:color="FFF5D6"/>
          <w:insideV w:val="single" w:sz="6" w:color="FFF5D6"/>
        </w:tblBorders>
      </w:tblPr>
      <w:tblGrid>
        <w:gridCol w:w="9878"/>
      </w:tblGrid>
      <w:tr>
        <w:tc>
          <w:tcPr>
            <w:tcW w:type="dxa" w:w="9821"/>
            <w:tcMar>
              <w:top w:w="80" w:type="dxa"/>
              <w:start w:w="120" w:type="dxa"/>
              <w:bottom w:w="80" w:type="dxa"/>
              <w:end w:w="120" w:type="dxa"/>
            </w:tcMar>
            <w:shd w:fill="FFF5D6"/>
          </w:tcPr>
          <w:p>
            <w:r>
              <w:rPr>
                <w:rFonts w:ascii="Aptos" w:hAnsi="Aptos"/>
                <w:b/>
                <w:i w:val="0"/>
                <w:color w:val="C47F00"/>
                <w:sz w:val="17"/>
              </w:rPr>
              <w:t>CHANGE BOUNDARY</w:t>
              <w:br/>
            </w:r>
            <w:r>
              <w:rPr>
                <w:rFonts w:ascii="Aptos" w:hAnsi="Aptos"/>
                <w:b w:val="0"/>
                <w:i w:val="0"/>
                <w:color w:val="1F2933"/>
                <w:sz w:val="20"/>
              </w:rPr>
              <w:t>No scope, budget, owner, readiness threshold, risk status or recommendation changed under CN-NS-014.</w:t>
            </w:r>
          </w:p>
        </w:tc>
      </w:tr>
    </w:tbl>
    <w:p>
      <w:pPr>
        <w:spacing w:after="20"/>
      </w:pPr>
    </w:p>
    <w:p>
      <w:pPr>
        <w:pStyle w:val="Heading1"/>
      </w:pPr>
      <w:r>
        <w:t>8. Required eight-slide structure</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4939"/>
        <w:gridCol w:w="4939"/>
      </w:tblGrid>
      <w:tr>
        <w:trPr>
          <w:tblHeader w:val="true"/>
          <w:cantSplit/>
        </w:trPr>
        <w:tc>
          <w:tcPr>
            <w:tcW w:type="dxa" w:w="1080"/>
            <w:tcMar>
              <w:top w:w="80" w:type="dxa"/>
              <w:start w:w="120" w:type="dxa"/>
              <w:bottom w:w="80" w:type="dxa"/>
              <w:end w:w="120" w:type="dxa"/>
            </w:tcMar>
            <w:shd w:fill="102A43"/>
          </w:tcPr>
          <w:p>
            <w:r>
              <w:rPr>
                <w:rFonts w:ascii="Aptos" w:hAnsi="Aptos"/>
                <w:b/>
                <w:i w:val="0"/>
                <w:color w:val="FFFFFF"/>
                <w:sz w:val="17"/>
              </w:rPr>
              <w:t>Slide</w:t>
            </w:r>
          </w:p>
        </w:tc>
        <w:tc>
          <w:tcPr>
            <w:tcW w:type="dxa" w:w="8741"/>
            <w:tcMar>
              <w:top w:w="80" w:type="dxa"/>
              <w:start w:w="120" w:type="dxa"/>
              <w:bottom w:w="80" w:type="dxa"/>
              <w:end w:w="120" w:type="dxa"/>
            </w:tcMar>
            <w:shd w:fill="102A43"/>
          </w:tcPr>
          <w:p>
            <w:r>
              <w:rPr>
                <w:rFonts w:ascii="Aptos" w:hAnsi="Aptos"/>
                <w:b/>
                <w:i w:val="0"/>
                <w:color w:val="FFFFFF"/>
                <w:sz w:val="17"/>
              </w:rPr>
              <w:t>Required message</w:t>
            </w:r>
          </w:p>
        </w:tc>
      </w:tr>
      <w:tr>
        <w:trPr>
          <w:cantSplit/>
        </w:trPr>
        <w:tc>
          <w:tcPr>
            <w:tcW w:type="dxa" w:w="4939"/>
          </w:tcPr>
          <w:p>
            <w:r>
              <w:rPr>
                <w:rFonts w:ascii="Aptos" w:hAnsi="Aptos"/>
                <w:b w:val="0"/>
                <w:i w:val="0"/>
                <w:color w:val="1F2933"/>
                <w:sz w:val="17"/>
              </w:rPr>
              <w:t>1</w:t>
            </w:r>
          </w:p>
        </w:tc>
        <w:tc>
          <w:tcPr>
            <w:tcW w:type="dxa" w:w="4939"/>
          </w:tcPr>
          <w:p>
            <w:r>
              <w:rPr>
                <w:rFonts w:ascii="Aptos" w:hAnsi="Aptos"/>
                <w:b w:val="0"/>
                <w:i w:val="0"/>
                <w:color w:val="1F2933"/>
                <w:sz w:val="17"/>
              </w:rPr>
              <w:t>Project Northstar - Steering Committee Decision</w:t>
            </w:r>
          </w:p>
        </w:tc>
      </w:tr>
      <w:tr>
        <w:trPr>
          <w:cantSplit/>
        </w:trPr>
        <w:tc>
          <w:tcPr>
            <w:tcW w:type="dxa" w:w="4939"/>
            <w:shd w:fill="F4F7FA"/>
          </w:tcPr>
          <w:p>
            <w:r>
              <w:rPr>
                <w:rFonts w:ascii="Aptos" w:hAnsi="Aptos"/>
                <w:b w:val="0"/>
                <w:i w:val="0"/>
                <w:color w:val="1F2933"/>
                <w:sz w:val="17"/>
              </w:rPr>
              <w:t>2</w:t>
            </w:r>
          </w:p>
        </w:tc>
        <w:tc>
          <w:tcPr>
            <w:tcW w:type="dxa" w:w="4939"/>
            <w:shd w:fill="F4F7FA"/>
          </w:tcPr>
          <w:p>
            <w:r>
              <w:rPr>
                <w:rFonts w:ascii="Aptos" w:hAnsi="Aptos"/>
                <w:b w:val="0"/>
                <w:i w:val="0"/>
                <w:color w:val="1F2933"/>
                <w:sz w:val="17"/>
              </w:rPr>
              <w:t>Executive readiness summary and decision required</w:t>
            </w:r>
          </w:p>
        </w:tc>
      </w:tr>
      <w:tr>
        <w:trPr>
          <w:cantSplit/>
        </w:trPr>
        <w:tc>
          <w:tcPr>
            <w:tcW w:type="dxa" w:w="4939"/>
          </w:tcPr>
          <w:p>
            <w:r>
              <w:rPr>
                <w:rFonts w:ascii="Aptos" w:hAnsi="Aptos"/>
                <w:b w:val="0"/>
                <w:i w:val="0"/>
                <w:color w:val="1F2933"/>
                <w:sz w:val="17"/>
              </w:rPr>
              <w:t>3</w:t>
            </w:r>
          </w:p>
        </w:tc>
        <w:tc>
          <w:tcPr>
            <w:tcW w:type="dxa" w:w="4939"/>
          </w:tcPr>
          <w:p>
            <w:r>
              <w:rPr>
                <w:rFonts w:ascii="Aptos" w:hAnsi="Aptos"/>
                <w:b w:val="0"/>
                <w:i w:val="0"/>
                <w:color w:val="1F2933"/>
                <w:sz w:val="17"/>
              </w:rPr>
              <w:t>Pilot scope and intended business value</w:t>
            </w:r>
          </w:p>
        </w:tc>
      </w:tr>
      <w:tr>
        <w:trPr>
          <w:cantSplit/>
        </w:trPr>
        <w:tc>
          <w:tcPr>
            <w:tcW w:type="dxa" w:w="4939"/>
            <w:shd w:fill="F4F7FA"/>
          </w:tcPr>
          <w:p>
            <w:r>
              <w:rPr>
                <w:rFonts w:ascii="Aptos" w:hAnsi="Aptos"/>
                <w:b w:val="0"/>
                <w:i w:val="0"/>
                <w:color w:val="1F2933"/>
                <w:sz w:val="17"/>
              </w:rPr>
              <w:t>4</w:t>
            </w:r>
          </w:p>
        </w:tc>
        <w:tc>
          <w:tcPr>
            <w:tcW w:type="dxa" w:w="4939"/>
            <w:shd w:fill="F4F7FA"/>
          </w:tcPr>
          <w:p>
            <w:r>
              <w:rPr>
                <w:rFonts w:ascii="Aptos" w:hAnsi="Aptos"/>
                <w:b w:val="0"/>
                <w:i w:val="0"/>
                <w:color w:val="1F2933"/>
                <w:sz w:val="17"/>
              </w:rPr>
              <w:t>Delivery and UAT readiness</w:t>
            </w:r>
          </w:p>
        </w:tc>
      </w:tr>
      <w:tr>
        <w:trPr>
          <w:cantSplit/>
        </w:trPr>
        <w:tc>
          <w:tcPr>
            <w:tcW w:type="dxa" w:w="4939"/>
          </w:tcPr>
          <w:p>
            <w:r>
              <w:rPr>
                <w:rFonts w:ascii="Aptos" w:hAnsi="Aptos"/>
                <w:b w:val="0"/>
                <w:i w:val="0"/>
                <w:color w:val="1F2933"/>
                <w:sz w:val="17"/>
              </w:rPr>
              <w:t>5</w:t>
            </w:r>
          </w:p>
        </w:tc>
        <w:tc>
          <w:tcPr>
            <w:tcW w:type="dxa" w:w="4939"/>
          </w:tcPr>
          <w:p>
            <w:r>
              <w:rPr>
                <w:rFonts w:ascii="Aptos" w:hAnsi="Aptos"/>
                <w:b w:val="0"/>
                <w:i w:val="0"/>
                <w:color w:val="1F2933"/>
                <w:sz w:val="17"/>
              </w:rPr>
              <w:t>Security, migration and operational readiness</w:t>
            </w:r>
          </w:p>
        </w:tc>
      </w:tr>
      <w:tr>
        <w:trPr>
          <w:cantSplit/>
        </w:trPr>
        <w:tc>
          <w:tcPr>
            <w:tcW w:type="dxa" w:w="4939"/>
            <w:shd w:fill="F4F7FA"/>
          </w:tcPr>
          <w:p>
            <w:r>
              <w:rPr>
                <w:rFonts w:ascii="Aptos" w:hAnsi="Aptos"/>
                <w:b w:val="0"/>
                <w:i w:val="0"/>
                <w:color w:val="1F2933"/>
                <w:sz w:val="17"/>
              </w:rPr>
              <w:t>6</w:t>
            </w:r>
          </w:p>
        </w:tc>
        <w:tc>
          <w:tcPr>
            <w:tcW w:type="dxa" w:w="4939"/>
            <w:shd w:fill="F4F7FA"/>
          </w:tcPr>
          <w:p>
            <w:r>
              <w:rPr>
                <w:rFonts w:ascii="Aptos" w:hAnsi="Aptos"/>
                <w:b w:val="0"/>
                <w:i w:val="0"/>
                <w:color w:val="1F2933"/>
                <w:sz w:val="17"/>
              </w:rPr>
              <w:t>Risks, contradictions and missing evidence</w:t>
            </w:r>
          </w:p>
        </w:tc>
      </w:tr>
      <w:tr>
        <w:trPr>
          <w:cantSplit/>
        </w:trPr>
        <w:tc>
          <w:tcPr>
            <w:tcW w:type="dxa" w:w="4939"/>
          </w:tcPr>
          <w:p>
            <w:r>
              <w:rPr>
                <w:rFonts w:ascii="Aptos" w:hAnsi="Aptos"/>
                <w:b w:val="0"/>
                <w:i w:val="0"/>
                <w:color w:val="1F2933"/>
                <w:sz w:val="17"/>
              </w:rPr>
              <w:t>7</w:t>
            </w:r>
          </w:p>
        </w:tc>
        <w:tc>
          <w:tcPr>
            <w:tcW w:type="dxa" w:w="4939"/>
          </w:tcPr>
          <w:p>
            <w:r>
              <w:rPr>
                <w:rFonts w:ascii="Aptos" w:hAnsi="Aptos"/>
                <w:b w:val="0"/>
                <w:i w:val="0"/>
                <w:color w:val="1F2933"/>
                <w:sz w:val="17"/>
              </w:rPr>
              <w:t>Launch options and implications</w:t>
            </w:r>
          </w:p>
        </w:tc>
      </w:tr>
      <w:tr>
        <w:trPr>
          <w:cantSplit/>
        </w:trPr>
        <w:tc>
          <w:tcPr>
            <w:tcW w:type="dxa" w:w="4939"/>
            <w:shd w:fill="F4F7FA"/>
          </w:tcPr>
          <w:p>
            <w:r>
              <w:rPr>
                <w:rFonts w:ascii="Aptos" w:hAnsi="Aptos"/>
                <w:b w:val="0"/>
                <w:i w:val="0"/>
                <w:color w:val="1F2933"/>
                <w:sz w:val="17"/>
              </w:rPr>
              <w:t>8</w:t>
            </w:r>
          </w:p>
        </w:tc>
        <w:tc>
          <w:tcPr>
            <w:tcW w:type="dxa" w:w="4939"/>
            <w:shd w:fill="F4F7FA"/>
          </w:tcPr>
          <w:p>
            <w:r>
              <w:rPr>
                <w:rFonts w:ascii="Aptos" w:hAnsi="Aptos"/>
                <w:b w:val="0"/>
                <w:i w:val="0"/>
                <w:color w:val="1F2933"/>
                <w:sz w:val="17"/>
              </w:rPr>
              <w:t>Required decisions, actions and next steps</w:t>
            </w:r>
          </w:p>
        </w:tc>
      </w:tr>
    </w:tbl>
    <w:p>
      <w:pPr>
        <w:pStyle w:val="Heading1"/>
      </w:pPr>
      <w:r>
        <w:t>9. Presentation controls</w:t>
      </w:r>
    </w:p>
    <w:p>
      <w:pPr>
        <w:pStyle w:val="ListBullet"/>
      </w:pPr>
      <w:r>
        <w:t>Use no more than eight slides.</w:t>
      </w:r>
    </w:p>
    <w:p>
      <w:pPr>
        <w:pStyle w:val="ListBullet"/>
      </w:pPr>
      <w:r>
        <w:t>Separate facts, proposals and missing evidence.</w:t>
      </w:r>
    </w:p>
    <w:p>
      <w:pPr>
        <w:pStyle w:val="ListBullet"/>
      </w:pPr>
      <w:r>
        <w:t>Use Not confirmed when an owner, date or financial value is missing.</w:t>
      </w:r>
    </w:p>
    <w:p>
      <w:pPr>
        <w:pStyle w:val="ListBullet"/>
      </w:pPr>
      <w:r>
        <w:t>Place a source list in the speaker notes for every slide.</w:t>
      </w:r>
    </w:p>
    <w:p>
      <w:pPr>
        <w:pStyle w:val="ListBullet"/>
      </w:pPr>
      <w:r>
        <w:t>Do not create a final committee decision.</w:t>
      </w:r>
    </w:p>
    <w:p>
      <w:pPr>
        <w:pStyle w:val="ListBullet"/>
      </w:pPr>
      <w:r>
        <w:t>Preserve the Northstar corporate template.</w:t>
      </w:r>
    </w:p>
    <w:p>
      <w:pPr>
        <w:pStyle w:val="Heading1"/>
      </w:pPr>
      <w:r>
        <w:t>10. Source register</w:t>
      </w:r>
    </w:p>
    <w:tbl>
      <w:tblPr>
        <w:tblW w:type="dxa" w:w="9820"/>
        <w:jc w:val="left"/>
        <w:tblLayout w:type="fixed"/>
        <w:tblLook w:firstColumn="1" w:firstRow="1" w:lastColumn="0" w:lastRow="0" w:noHBand="0" w:noVBand="1" w:val="04A0"/>
        <w:tblInd w:w="120" w:type="dxa"/>
        <w:tblBorders>
          <w:top w:val="single" w:sz="6" w:color="D8E1EA"/>
          <w:left w:val="single" w:sz="6" w:color="D8E1EA"/>
          <w:bottom w:val="single" w:sz="6" w:color="D8E1EA"/>
          <w:right w:val="single" w:sz="6" w:color="D8E1EA"/>
          <w:insideH w:val="single" w:sz="6" w:color="D8E1EA"/>
          <w:insideV w:val="single" w:sz="6" w:color="D8E1EA"/>
        </w:tblBorders>
      </w:tblPr>
      <w:tblGrid>
        <w:gridCol w:w="3293"/>
        <w:gridCol w:w="3293"/>
        <w:gridCol w:w="3293"/>
      </w:tblGrid>
      <w:tr>
        <w:trPr>
          <w:tblHeader w:val="true"/>
          <w:cantSplit/>
        </w:trPr>
        <w:tc>
          <w:tcPr>
            <w:tcW w:type="dxa" w:w="1152"/>
            <w:tcMar>
              <w:top w:w="80" w:type="dxa"/>
              <w:start w:w="120" w:type="dxa"/>
              <w:bottom w:w="80" w:type="dxa"/>
              <w:end w:w="120" w:type="dxa"/>
            </w:tcMar>
            <w:shd w:fill="102A43"/>
          </w:tcPr>
          <w:p>
            <w:r>
              <w:rPr>
                <w:rFonts w:ascii="Aptos" w:hAnsi="Aptos"/>
                <w:b/>
                <w:i w:val="0"/>
                <w:color w:val="FFFFFF"/>
                <w:sz w:val="17"/>
              </w:rPr>
              <w:t>ID</w:t>
            </w:r>
          </w:p>
        </w:tc>
        <w:tc>
          <w:tcPr>
            <w:tcW w:type="dxa" w:w="4896"/>
            <w:tcMar>
              <w:top w:w="80" w:type="dxa"/>
              <w:start w:w="120" w:type="dxa"/>
              <w:bottom w:w="80" w:type="dxa"/>
              <w:end w:w="120" w:type="dxa"/>
            </w:tcMar>
            <w:shd w:fill="102A43"/>
          </w:tcPr>
          <w:p>
            <w:r>
              <w:rPr>
                <w:rFonts w:ascii="Aptos" w:hAnsi="Aptos"/>
                <w:b/>
                <w:i w:val="0"/>
                <w:color w:val="FFFFFF"/>
                <w:sz w:val="17"/>
              </w:rPr>
              <w:t>Source</w:t>
            </w:r>
          </w:p>
        </w:tc>
        <w:tc>
          <w:tcPr>
            <w:tcW w:type="dxa" w:w="3773"/>
            <w:tcMar>
              <w:top w:w="80" w:type="dxa"/>
              <w:start w:w="120" w:type="dxa"/>
              <w:bottom w:w="80" w:type="dxa"/>
              <w:end w:w="120" w:type="dxa"/>
            </w:tcMar>
            <w:shd w:fill="102A43"/>
          </w:tcPr>
          <w:p>
            <w:r>
              <w:rPr>
                <w:rFonts w:ascii="Aptos" w:hAnsi="Aptos"/>
                <w:b/>
                <w:i w:val="0"/>
                <w:color w:val="FFFFFF"/>
                <w:sz w:val="17"/>
              </w:rPr>
              <w:t>Authority / use</w:t>
            </w:r>
          </w:p>
        </w:tc>
      </w:tr>
      <w:tr>
        <w:trPr>
          <w:cantSplit/>
        </w:trPr>
        <w:tc>
          <w:tcPr>
            <w:tcW w:type="dxa" w:w="3293"/>
          </w:tcPr>
          <w:p>
            <w:r>
              <w:rPr>
                <w:rFonts w:ascii="Aptos" w:hAnsi="Aptos"/>
                <w:b w:val="0"/>
                <w:i w:val="0"/>
                <w:color w:val="1F2933"/>
                <w:sz w:val="17"/>
              </w:rPr>
              <w:t>NS-01</w:t>
            </w:r>
          </w:p>
        </w:tc>
        <w:tc>
          <w:tcPr>
            <w:tcW w:type="dxa" w:w="3293"/>
          </w:tcPr>
          <w:p>
            <w:r>
              <w:rPr>
                <w:rFonts w:ascii="Aptos" w:hAnsi="Aptos"/>
                <w:b w:val="0"/>
                <w:i w:val="0"/>
                <w:color w:val="1F2933"/>
                <w:sz w:val="17"/>
              </w:rPr>
              <w:t>Project Northstar Project Brief v1.0, 20 Aug 2026</w:t>
            </w:r>
          </w:p>
        </w:tc>
        <w:tc>
          <w:tcPr>
            <w:tcW w:type="dxa" w:w="3293"/>
          </w:tcPr>
          <w:p>
            <w:r>
              <w:rPr>
                <w:rFonts w:ascii="Aptos" w:hAnsi="Aptos"/>
                <w:b w:val="0"/>
                <w:i w:val="0"/>
                <w:color w:val="1F2933"/>
                <w:sz w:val="17"/>
              </w:rPr>
              <w:t>Scope, targets, baseline date, budget and gates</w:t>
            </w:r>
          </w:p>
        </w:tc>
      </w:tr>
      <w:tr>
        <w:trPr>
          <w:cantSplit/>
        </w:trPr>
        <w:tc>
          <w:tcPr>
            <w:tcW w:type="dxa" w:w="3293"/>
            <w:shd w:fill="F4F7FA"/>
          </w:tcPr>
          <w:p>
            <w:r>
              <w:rPr>
                <w:rFonts w:ascii="Aptos" w:hAnsi="Aptos"/>
                <w:b w:val="0"/>
                <w:i w:val="0"/>
                <w:color w:val="1F2933"/>
                <w:sz w:val="17"/>
              </w:rPr>
              <w:t>NS-02</w:t>
            </w:r>
          </w:p>
        </w:tc>
        <w:tc>
          <w:tcPr>
            <w:tcW w:type="dxa" w:w="3293"/>
            <w:shd w:fill="F4F7FA"/>
          </w:tcPr>
          <w:p>
            <w:r>
              <w:rPr>
                <w:rFonts w:ascii="Aptos" w:hAnsi="Aptos"/>
                <w:b w:val="0"/>
                <w:i w:val="0"/>
                <w:color w:val="1F2933"/>
                <w:sz w:val="17"/>
              </w:rPr>
              <w:t>Project Northstar Readiness Tracker, cut-off 26 Aug 2026</w:t>
            </w:r>
          </w:p>
        </w:tc>
        <w:tc>
          <w:tcPr>
            <w:tcW w:type="dxa" w:w="3293"/>
            <w:shd w:fill="F4F7FA"/>
          </w:tcPr>
          <w:p>
            <w:r>
              <w:rPr>
                <w:rFonts w:ascii="Aptos" w:hAnsi="Aptos"/>
                <w:b w:val="0"/>
                <w:i w:val="0"/>
                <w:color w:val="1F2933"/>
                <w:sz w:val="17"/>
              </w:rPr>
              <w:t>Current readiness metrics and forecast spend</w:t>
            </w:r>
          </w:p>
        </w:tc>
      </w:tr>
      <w:tr>
        <w:trPr>
          <w:cantSplit/>
        </w:trPr>
        <w:tc>
          <w:tcPr>
            <w:tcW w:type="dxa" w:w="3293"/>
          </w:tcPr>
          <w:p>
            <w:r>
              <w:rPr>
                <w:rFonts w:ascii="Aptos" w:hAnsi="Aptos"/>
                <w:b w:val="0"/>
                <w:i w:val="0"/>
                <w:color w:val="1F2933"/>
                <w:sz w:val="17"/>
              </w:rPr>
              <w:t>NS-03</w:t>
            </w:r>
          </w:p>
        </w:tc>
        <w:tc>
          <w:tcPr>
            <w:tcW w:type="dxa" w:w="3293"/>
          </w:tcPr>
          <w:p>
            <w:r>
              <w:rPr>
                <w:rFonts w:ascii="Aptos" w:hAnsi="Aptos"/>
                <w:b w:val="0"/>
                <w:i w:val="0"/>
                <w:color w:val="1F2933"/>
                <w:sz w:val="17"/>
              </w:rPr>
              <w:t>Project Northstar Readiness Review Notes, 25 Aug 2026</w:t>
            </w:r>
          </w:p>
        </w:tc>
        <w:tc>
          <w:tcPr>
            <w:tcW w:type="dxa" w:w="3293"/>
          </w:tcPr>
          <w:p>
            <w:r>
              <w:rPr>
                <w:rFonts w:ascii="Aptos" w:hAnsi="Aptos"/>
                <w:b w:val="0"/>
                <w:i w:val="0"/>
                <w:color w:val="1F2933"/>
                <w:sz w:val="17"/>
              </w:rPr>
              <w:t>Statements, proposals and unresolved items</w:t>
            </w:r>
          </w:p>
        </w:tc>
      </w:tr>
      <w:tr>
        <w:trPr>
          <w:cantSplit/>
        </w:trPr>
        <w:tc>
          <w:tcPr>
            <w:tcW w:type="dxa" w:w="3293"/>
            <w:shd w:fill="F4F7FA"/>
          </w:tcPr>
          <w:p>
            <w:r>
              <w:rPr>
                <w:rFonts w:ascii="Aptos" w:hAnsi="Aptos"/>
                <w:b w:val="0"/>
                <w:i w:val="0"/>
                <w:color w:val="1F2933"/>
                <w:sz w:val="17"/>
              </w:rPr>
              <w:t>NS-04</w:t>
            </w:r>
          </w:p>
        </w:tc>
        <w:tc>
          <w:tcPr>
            <w:tcW w:type="dxa" w:w="3293"/>
            <w:shd w:fill="F4F7FA"/>
          </w:tcPr>
          <w:p>
            <w:r>
              <w:rPr>
                <w:rFonts w:ascii="Aptos" w:hAnsi="Aptos"/>
                <w:b w:val="0"/>
                <w:i w:val="0"/>
                <w:color w:val="1F2933"/>
                <w:sz w:val="17"/>
              </w:rPr>
              <w:t>Change Notice CN-NS-014, 27 Aug 2026</w:t>
            </w:r>
          </w:p>
        </w:tc>
        <w:tc>
          <w:tcPr>
            <w:tcW w:type="dxa" w:w="3293"/>
            <w:shd w:fill="F4F7FA"/>
          </w:tcPr>
          <w:p>
            <w:r>
              <w:rPr>
                <w:rFonts w:ascii="Aptos" w:hAnsi="Aptos"/>
                <w:b w:val="0"/>
                <w:i w:val="0"/>
                <w:color w:val="1F2933"/>
                <w:sz w:val="17"/>
              </w:rPr>
              <w:t>Overrides the launch-date field only</w:t>
            </w:r>
          </w:p>
        </w:tc>
      </w:tr>
    </w:tbl>
    <w:p>
      <w:pPr>
        <w:pStyle w:val="Heading1"/>
      </w:pPr>
      <w:r>
        <w:t>11. Approved PowerPoint generation instruction</w:t>
      </w:r>
    </w:p>
    <w:tbl>
      <w:tblPr>
        <w:tblW w:type="dxa" w:w="9820"/>
        <w:jc w:val="left"/>
        <w:tblLayout w:type="fixed"/>
        <w:tblLook w:firstColumn="1" w:firstRow="1" w:lastColumn="0" w:lastRow="0" w:noHBand="0" w:noVBand="1" w:val="04A0"/>
        <w:tblInd w:w="120" w:type="dxa"/>
        <w:tblBorders>
          <w:top w:val="single" w:sz="6" w:color="FDECEC"/>
          <w:left w:val="single" w:sz="6" w:color="FDECEC"/>
          <w:bottom w:val="single" w:sz="6" w:color="FDECEC"/>
          <w:right w:val="single" w:sz="6" w:color="FDECEC"/>
          <w:insideH w:val="single" w:sz="6" w:color="FDECEC"/>
          <w:insideV w:val="single" w:sz="6" w:color="FDECEC"/>
        </w:tblBorders>
      </w:tblPr>
      <w:tblGrid>
        <w:gridCol w:w="9878"/>
      </w:tblGrid>
      <w:tr>
        <w:tc>
          <w:tcPr>
            <w:tcW w:type="dxa" w:w="9821"/>
            <w:tcMar>
              <w:top w:w="80" w:type="dxa"/>
              <w:start w:w="120" w:type="dxa"/>
              <w:bottom w:w="80" w:type="dxa"/>
              <w:end w:w="120" w:type="dxa"/>
            </w:tcMar>
            <w:shd w:fill="FDECEC"/>
          </w:tcPr>
          <w:p>
            <w:r>
              <w:rPr>
                <w:rFonts w:ascii="Aptos" w:hAnsi="Aptos"/>
                <w:b/>
                <w:i w:val="0"/>
                <w:color w:val="A33A3A"/>
                <w:sz w:val="17"/>
              </w:rPr>
              <w:t>CREATION PROMPT</w:t>
              <w:br/>
            </w:r>
            <w:r>
              <w:rPr>
                <w:rFonts w:ascii="Aptos" w:hAnsi="Aptos"/>
                <w:b w:val="0"/>
                <w:i w:val="0"/>
                <w:color w:val="1F2933"/>
                <w:sz w:val="20"/>
              </w:rPr>
              <w:t>Create an eight-slide steering committee presentation from this verified brief. Use the open Northstar corporate template. Preserve its theme and layouts. Follow the required slide structure. Separate confirmed facts, proposals and missing evidence. Add concise speaker notes with a [Sources] block on every slide. Do not add facts from general knowledge or make the final committee decision.</w:t>
            </w:r>
          </w:p>
        </w:tc>
      </w:tr>
    </w:tbl>
    <w:p>
      <w:pPr>
        <w:spacing w:after="20"/>
      </w:pPr>
    </w:p>
    <w:p>
      <w:pPr>
        <w:pStyle w:val="Heading1"/>
      </w:pPr>
      <w:r>
        <w:t>12. Mandatory human checks</w:t>
      </w:r>
    </w:p>
    <w:p>
      <w:pPr>
        <w:pStyle w:val="ListBullet"/>
      </w:pPr>
      <w:r>
        <w:t>Compare every visible number and date with the Readiness Tracker and Change Notice.</w:t>
      </w:r>
    </w:p>
    <w:p>
      <w:pPr>
        <w:pStyle w:val="ListBullet"/>
      </w:pPr>
      <w:r>
        <w:t>Remove or label any unsupported financial statement.</w:t>
      </w:r>
    </w:p>
    <w:p>
      <w:pPr>
        <w:pStyle w:val="ListBullet"/>
      </w:pPr>
      <w:r>
        <w:t>Confirm that Conditional Go remains a proposal.</w:t>
      </w:r>
    </w:p>
    <w:p>
      <w:pPr>
        <w:pStyle w:val="ListBullet"/>
      </w:pPr>
      <w:r>
        <w:t>Confirm that the 29 September date appears only where relevant.</w:t>
      </w:r>
    </w:p>
    <w:p>
      <w:pPr>
        <w:pStyle w:val="ListBullet"/>
      </w:pPr>
      <w:r>
        <w:t>Review speaker notes and run PowerPoint Accessibility Checker.</w:t>
      </w:r>
    </w:p>
    <w:sectPr w:rsidR="00FC693F" w:rsidRPr="0006063C" w:rsidSect="00034616">
      <w:headerReference w:type="default" r:id="rId9"/>
      <w:footerReference w:type="default" r:id="rId10"/>
      <w:pgSz w:w="12240" w:h="15840"/>
      <w:pgMar w:top="1123"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27D98"/>
        <w:sz w:val="16"/>
      </w:rPr>
      <w:t>DATech  |  Participant workshop material  |  Synthetic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8208"/>
      <w:gridCol w:w="1613"/>
    </w:tblGrid>
    <w:tr>
      <w:tc>
        <w:tcPr>
          <w:tcW w:type="dxa" w:w="4910"/>
          <w:vAlign w:val="center"/>
          <w:tcMar>
            <w:top w:w="0" w:type="dxa"/>
            <w:start w:w="0" w:type="dxa"/>
            <w:bottom w:w="0" w:type="dxa"/>
            <w:end w:w="0" w:type="dxa"/>
          </w:tcMar>
        </w:tcPr>
        <w:p>
          <w:pPr>
            <w:jc w:val="left"/>
          </w:pPr>
          <w:r>
            <w:rPr>
              <w:rFonts w:ascii="Aptos" w:hAnsi="Aptos"/>
              <w:b/>
              <w:i w:val="0"/>
              <w:color w:val="627D98"/>
              <w:sz w:val="17"/>
            </w:rPr>
            <w:t>Microsoft Copilot Labs  |  Project Northstar Verified Decision Brief</w:t>
          </w:r>
        </w:p>
      </w:tc>
      <w:tc>
        <w:tcPr>
          <w:tcW w:type="dxa" w:w="4910"/>
          <w:vAlign w:val="center"/>
          <w:tcMar>
            <w:top w:w="0" w:type="dxa"/>
            <w:start w:w="0" w:type="dxa"/>
            <w:bottom w:w="0" w:type="dxa"/>
            <w:end w:w="0" w:type="dxa"/>
          </w:tcMar>
        </w:tcPr>
        <w:p>
          <w:pPr>
            <w:jc w:val="right"/>
          </w:pPr>
          <w:r>
            <w:drawing>
              <wp:inline xmlns:a="http://schemas.openxmlformats.org/drawingml/2006/main" xmlns:pic="http://schemas.openxmlformats.org/drawingml/2006/picture">
                <wp:extent cx="713232" cy="364909"/>
                <wp:docPr id="1" name="Picture 1"/>
                <wp:cNvGraphicFramePr>
                  <a:graphicFrameLocks noChangeAspect="1"/>
                </wp:cNvGraphicFramePr>
                <a:graphic>
                  <a:graphicData uri="http://schemas.openxmlformats.org/drawingml/2006/picture">
                    <pic:pic>
                      <pic:nvPicPr>
                        <pic:cNvPr id="0" name="DATech logo copy.jpg"/>
                        <pic:cNvPicPr/>
                      </pic:nvPicPr>
                      <pic:blipFill>
                        <a:blip r:embed="rId1"/>
                        <a:stretch>
                          <a:fillRect/>
                        </a:stretch>
                      </pic:blipFill>
                      <pic:spPr>
                        <a:xfrm>
                          <a:off x="0" y="0"/>
                          <a:ext cx="713232" cy="364909"/>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8658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18"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18"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