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Nova — Phase 2 Decision Paper</w:t>
      </w:r>
    </w:p>
    <w:p>
      <w:pPr>
        <w:pStyle w:val="Subtitle"/>
      </w:pPr>
      <w:r>
        <w:rPr>
          <w:color w:val="0067B8"/>
        </w:rPr>
        <w:t>Example management output | Evidence current to 28 August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rPr>
          <w:trHeight w:val="80"/>
        </w:trPr>
        <w:tc>
          <w:tcPr>
            <w:tcW w:type="dxa" w:w="10166"/>
            <w:shd w:fill="0067B8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067B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RECOMMENDED DECISION</w:t>
            </w:r>
          </w:p>
        </w:tc>
      </w:tr>
      <w:tr>
        <w:tc>
          <w:tcPr>
            <w:tcW w:type="dxa" w:w="10166"/>
            <w:shd w:fill="FFF4CE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>
              <w:t>Approve a four-week, three-application pilot only if the committee accepts limited 38.3% workload coverage and approves the KPI definition, controls and exit criteria. Continue integration discovery for FinanceHub and Power BI in parallel.</w:t>
            </w:r>
          </w:p>
        </w:tc>
      </w:tr>
    </w:tbl>
    <w:p/>
    <w:p>
      <w:pPr>
        <w:pStyle w:val="Heading1"/>
      </w:pPr>
      <w:r>
        <w:t>1. Decision required</w:t>
      </w:r>
    </w:p>
    <w:p>
      <w:r>
        <w:t>The Steering Committee must choose Option A, B or C and approve any conditions. This paper does not record an approved decision.</w:t>
      </w:r>
    </w:p>
    <w:p>
      <w:pPr>
        <w:pStyle w:val="Heading1"/>
      </w:pPr>
      <w:r>
        <w:t>2. Evidence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88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Finding</w:t>
            </w:r>
          </w:p>
        </w:tc>
        <w:tc>
          <w:tcPr>
            <w:tcW w:type="dxa" w:w="2160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Evidence status</w:t>
            </w:r>
          </w:p>
        </w:tc>
        <w:tc>
          <w:tcPr>
            <w:tcW w:type="dxa" w:w="4032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Implication</w:t>
            </w:r>
          </w:p>
        </w:tc>
      </w:tr>
      <w:tr>
        <w:tc>
          <w:tcPr>
            <w:tcW w:type="dxa" w:w="38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ServiceNow, HR Core and GitHub Enterprise are technically ready.</w:t>
            </w:r>
          </w:p>
        </w:tc>
        <w:tc>
          <w:tcPr>
            <w:tcW w:type="dxa" w:w="21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Confirmed in rollout source pack</w:t>
            </w:r>
          </w:p>
        </w:tc>
        <w:tc>
          <w:tcPr>
            <w:tcW w:type="dxa" w:w="40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 controlled subset pilot can start.</w:t>
            </w:r>
          </w:p>
        </w:tc>
      </w:tr>
      <w:tr>
        <w:tc>
          <w:tcPr>
            <w:tcW w:type="dxa" w:w="388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Those applications represent 46 of 120 requests (38.3%).</w:t>
            </w:r>
          </w:p>
        </w:tc>
        <w:tc>
          <w:tcPr>
            <w:tcW w:type="dxa" w:w="216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Calculated from supplied dataset</w:t>
            </w:r>
          </w:p>
        </w:tc>
        <w:tc>
          <w:tcPr>
            <w:tcW w:type="dxa" w:w="403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The pilot will not represent most observed workload.</w:t>
            </w:r>
          </w:p>
        </w:tc>
      </w:tr>
      <w:tr>
        <w:tc>
          <w:tcPr>
            <w:tcW w:type="dxa" w:w="38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FinanceHub and Power BI represent 74 requests (61.7%).</w:t>
            </w:r>
          </w:p>
        </w:tc>
        <w:tc>
          <w:tcPr>
            <w:tcW w:type="dxa" w:w="21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Calculated from supplied dataset</w:t>
            </w:r>
          </w:p>
        </w:tc>
        <w:tc>
          <w:tcPr>
            <w:tcW w:type="dxa" w:w="40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High-volume scope remains outside the pilot.</w:t>
            </w:r>
          </w:p>
        </w:tc>
      </w:tr>
      <w:tr>
        <w:tc>
          <w:tcPr>
            <w:tcW w:type="dxa" w:w="388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Dataset contains duplicate, invalid, missing and conflicting-definition issues.</w:t>
            </w:r>
          </w:p>
        </w:tc>
        <w:tc>
          <w:tcPr>
            <w:tcW w:type="dxa" w:w="216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Confirmed by Analyst profiling</w:t>
            </w:r>
          </w:p>
        </w:tc>
        <w:tc>
          <w:tcPr>
            <w:tcW w:type="dxa" w:w="403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Formal SLA or ROI claims are premature.</w:t>
            </w:r>
          </w:p>
        </w:tc>
      </w:tr>
      <w:tr>
        <w:tc>
          <w:tcPr>
            <w:tcW w:type="dxa" w:w="388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One-business-day target.</w:t>
            </w:r>
          </w:p>
        </w:tc>
        <w:tc>
          <w:tcPr>
            <w:tcW w:type="dxa" w:w="21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Proposed / Not confirmed</w:t>
            </w:r>
          </w:p>
        </w:tc>
        <w:tc>
          <w:tcPr>
            <w:tcW w:type="dxa" w:w="403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Committee must approve, change or reject the target.</w:t>
            </w:r>
          </w:p>
        </w:tc>
      </w:tr>
    </w:tbl>
    <w:p/>
    <w:p>
      <w:pPr>
        <w:pStyle w:val="Heading1"/>
      </w:pPr>
      <w:r>
        <w:t>3. Agent conclusions and reconciliation</w:t>
      </w:r>
    </w:p>
    <w:p>
      <w:r>
        <w:t>Researcher concluded that Option A is technically feasible because three integration paths are ready. Analyst found that the same scope represents only 38.3% of observed request volume. These findings do not contradict one another: technical feasibility and business coverage are different decision dimensions. The recommendation therefore remains conditional.</w:t>
      </w:r>
    </w:p>
    <w:p>
      <w:pPr>
        <w:pStyle w:val="Heading1"/>
      </w:pPr>
      <w:r>
        <w:t>4. Options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Option</w:t>
            </w:r>
          </w:p>
        </w:tc>
        <w:tc>
          <w:tcPr>
            <w:tcW w:type="dxa" w:w="3024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Benefit</w:t>
            </w:r>
          </w:p>
        </w:tc>
        <w:tc>
          <w:tcPr>
            <w:tcW w:type="dxa" w:w="3456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Material risk</w:t>
            </w:r>
          </w:p>
        </w:tc>
        <w:tc>
          <w:tcPr>
            <w:tcW w:type="dxa" w:w="2160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Current position</w:t>
            </w:r>
          </w:p>
        </w:tc>
      </w:tr>
      <w:tr>
        <w:tc>
          <w:tcPr>
            <w:tcW w:type="dxa" w:w="23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 — 3-app pilot</w:t>
            </w:r>
          </w:p>
        </w:tc>
        <w:tc>
          <w:tcPr>
            <w:tcW w:type="dxa" w:w="302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Starts controlled learning using ready integrations</w:t>
            </w:r>
          </w:p>
        </w:tc>
        <w:tc>
          <w:tcPr>
            <w:tcW w:type="dxa" w:w="345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Limited coverage and generalisability</w:t>
            </w:r>
          </w:p>
        </w:tc>
        <w:tc>
          <w:tcPr>
            <w:tcW w:type="dxa" w:w="21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Recommended with conditions</w:t>
            </w:r>
          </w:p>
        </w:tc>
      </w:tr>
      <w:tr>
        <w:tc>
          <w:tcPr>
            <w:tcW w:type="dxa" w:w="2304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B — 5-app rollout</w:t>
            </w:r>
          </w:p>
        </w:tc>
        <w:tc>
          <w:tcPr>
            <w:tcW w:type="dxa" w:w="3024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Covers full observed application scope</w:t>
            </w:r>
          </w:p>
        </w:tc>
        <w:tc>
          <w:tcPr>
            <w:tcW w:type="dxa" w:w="3456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Depends on unresolved integrations and controls</w:t>
            </w:r>
          </w:p>
        </w:tc>
        <w:tc>
          <w:tcPr>
            <w:tcW w:type="dxa" w:w="216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Do not approve now</w:t>
            </w:r>
          </w:p>
        </w:tc>
      </w:tr>
      <w:tr>
        <w:tc>
          <w:tcPr>
            <w:tcW w:type="dxa" w:w="230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 — Discovery only</w:t>
            </w:r>
          </w:p>
        </w:tc>
        <w:tc>
          <w:tcPr>
            <w:tcW w:type="dxa" w:w="3024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Resolves definitions and integrations before launch</w:t>
            </w:r>
          </w:p>
        </w:tc>
        <w:tc>
          <w:tcPr>
            <w:tcW w:type="dxa" w:w="345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Delays learning and value</w:t>
            </w:r>
          </w:p>
        </w:tc>
        <w:tc>
          <w:tcPr>
            <w:tcW w:type="dxa" w:w="21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Fallback if conditions are rejected</w:t>
            </w:r>
          </w:p>
        </w:tc>
      </w:tr>
    </w:tbl>
    <w:p/>
    <w:p>
      <w:pPr>
        <w:pStyle w:val="Heading1"/>
      </w:pPr>
      <w:r>
        <w:t>5. Conditions for Option A</w:t>
      </w:r>
    </w:p>
    <w:p>
      <w:pPr>
        <w:pStyle w:val="ListNumber"/>
      </w:pPr>
      <w:r>
        <w:t>Approve one official completion definition and document the denominator.</w:t>
      </w:r>
    </w:p>
    <w:p>
      <w:pPr>
        <w:pStyle w:val="ListNumber"/>
      </w:pPr>
      <w:r>
        <w:t>Treat the one-business-day target as a pilot hypothesis until approved.</w:t>
      </w:r>
    </w:p>
    <w:p>
      <w:pPr>
        <w:pStyle w:val="ListNumber"/>
      </w:pPr>
      <w:r>
        <w:t>Retain human approval for privileged and admin access.</w:t>
      </w:r>
    </w:p>
    <w:p>
      <w:pPr>
        <w:pStyle w:val="ListNumber"/>
      </w:pPr>
      <w:r>
        <w:t>Provide a manual fallback and incident escalation route.</w:t>
      </w:r>
    </w:p>
    <w:p>
      <w:pPr>
        <w:pStyle w:val="ListNumber"/>
      </w:pPr>
      <w:r>
        <w:t>Time-box the pilot to four weeks and define exit criteria before launch.</w:t>
      </w:r>
    </w:p>
    <w:p>
      <w:pPr>
        <w:pStyle w:val="ListNumber"/>
      </w:pPr>
      <w:r>
        <w:t>Continue FinanceHub security review and Power BI consent/design work in parallel.</w:t>
      </w:r>
    </w:p>
    <w:p>
      <w:pPr>
        <w:pStyle w:val="Heading1"/>
      </w:pPr>
      <w:r>
        <w:t>6. Decisions and owners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4608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2880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592"/>
            <w:shd w:fill="0067B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b/>
                <w:color w:val="FFFFFF"/>
              </w:rPr>
              <w:t>Required before</w:t>
            </w:r>
          </w:p>
        </w:tc>
      </w:tr>
      <w:tr>
        <w:tc>
          <w:tcPr>
            <w:tcW w:type="dxa" w:w="460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Select Option A, B or C</w:t>
            </w:r>
          </w:p>
        </w:tc>
        <w:tc>
          <w:tcPr>
            <w:tcW w:type="dxa" w:w="28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Steering Committee</w:t>
            </w:r>
          </w:p>
        </w:tc>
        <w:tc>
          <w:tcPr>
            <w:tcW w:type="dxa" w:w="2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Pilot start</w:t>
            </w:r>
          </w:p>
        </w:tc>
      </w:tr>
      <w:tr>
        <w:tc>
          <w:tcPr>
            <w:tcW w:type="dxa" w:w="460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Approve completion definition and pilot KPI</w:t>
            </w:r>
          </w:p>
        </w:tc>
        <w:tc>
          <w:tcPr>
            <w:tcW w:type="dxa" w:w="288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Steering Committee + Process Owner</w:t>
            </w:r>
          </w:p>
        </w:tc>
        <w:tc>
          <w:tcPr>
            <w:tcW w:type="dxa" w:w="259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Measurement baseline</w:t>
            </w:r>
          </w:p>
        </w:tc>
      </w:tr>
      <w:tr>
        <w:tc>
          <w:tcPr>
            <w:tcW w:type="dxa" w:w="460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Approve privileged/admin control boundary</w:t>
            </w:r>
          </w:p>
        </w:tc>
        <w:tc>
          <w:tcPr>
            <w:tcW w:type="dxa" w:w="28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Security Owner</w:t>
            </w:r>
          </w:p>
        </w:tc>
        <w:tc>
          <w:tcPr>
            <w:tcW w:type="dxa" w:w="2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Pilot start</w:t>
            </w:r>
          </w:p>
        </w:tc>
      </w:tr>
      <w:tr>
        <w:tc>
          <w:tcPr>
            <w:tcW w:type="dxa" w:w="4608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Approve application-specific fallback</w:t>
            </w:r>
          </w:p>
        </w:tc>
        <w:tc>
          <w:tcPr>
            <w:tcW w:type="dxa" w:w="2880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Service Operations</w:t>
            </w:r>
          </w:p>
        </w:tc>
        <w:tc>
          <w:tcPr>
            <w:tcW w:type="dxa" w:w="2592"/>
            <w:shd w:fill="F7FAFC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Pilot start</w:t>
            </w:r>
          </w:p>
        </w:tc>
      </w:tr>
      <w:tr>
        <w:tc>
          <w:tcPr>
            <w:tcW w:type="dxa" w:w="460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Confirm FinanceHub and Power BI remediation plan</w:t>
            </w:r>
          </w:p>
        </w:tc>
        <w:tc>
          <w:tcPr>
            <w:tcW w:type="dxa" w:w="288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Programme Lead</w:t>
            </w:r>
          </w:p>
        </w:tc>
        <w:tc>
          <w:tcPr>
            <w:tcW w:type="dxa" w:w="259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Next steering review</w:t>
            </w:r>
          </w:p>
        </w:tc>
      </w:tr>
    </w:tbl>
    <w:p/>
    <w:p>
      <w:pPr>
        <w:pStyle w:val="Heading1"/>
      </w:pPr>
      <w:r>
        <w:t>7. Evidence limitations</w:t>
      </w:r>
    </w:p>
    <w:p>
      <w:pPr>
        <w:pStyle w:val="ListBullet"/>
      </w:pPr>
      <w:r>
        <w:t>Synthetic dataset; results demonstrate method, not a production business case.</w:t>
      </w:r>
    </w:p>
    <w:p>
      <w:pPr>
        <w:pStyle w:val="ListBullet"/>
      </w:pPr>
      <w:r>
        <w:t>Duplicate ID, negative duration, missing values and mixed completion definitions affect KPI reliability.</w:t>
      </w:r>
    </w:p>
    <w:p>
      <w:pPr>
        <w:pStyle w:val="ListBullet"/>
      </w:pPr>
      <w:r>
        <w:t>Request volume is not identical to business value or risk.</w:t>
      </w:r>
    </w:p>
    <w:p>
      <w:pPr>
        <w:pStyle w:val="ListBullet"/>
      </w:pPr>
      <w:r>
        <w:t>External research provides context but does not override approved internal constraints.</w:t>
      </w:r>
    </w:p>
    <w:p>
      <w:pPr>
        <w:pStyle w:val="Heading1"/>
      </w:pPr>
      <w:r>
        <w:t>8. Source map</w:t>
      </w:r>
    </w:p>
    <w:p>
      <w:pPr>
        <w:pStyle w:val="ListBullet"/>
      </w:pPr>
      <w:r>
        <w:t>Project Nova Phase 2 Decision Brief v1.0.</w:t>
      </w:r>
    </w:p>
    <w:p>
      <w:pPr>
        <w:pStyle w:val="ListBullet"/>
      </w:pPr>
      <w:r>
        <w:t>Project Nova Three Rollout Options Source Pack v1.0.</w:t>
      </w:r>
    </w:p>
    <w:p>
      <w:pPr>
        <w:pStyle w:val="ListBullet"/>
      </w:pPr>
      <w:r>
        <w:t>Project Nova Access Request Dataset and KPI Rules.</w:t>
      </w:r>
    </w:p>
    <w:p>
      <w:pPr>
        <w:pStyle w:val="ListBullet"/>
      </w:pPr>
      <w:r>
        <w:t>Expected Analyst Findings workbook (trainer-verified calculation).</w:t>
      </w:r>
    </w:p>
    <w:p>
      <w:pPr>
        <w:pStyle w:val="ListBullet"/>
      </w:pPr>
      <w:r>
        <w:t>TRUST Agent Handoff reviewed before document creation.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5C5C"/>
        <w:sz w:val="16"/>
      </w:rPr>
      <w:t xml:space="preserve">SYNTHETIC WORKSHOP MATERIAL  |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8352"/>
      <w:gridCol w:w="1728"/>
    </w:tblGrid>
    <w:tr>
      <w:tc>
        <w:tcPr>
          <w:tcW w:type="dxa" w:w="5040"/>
        </w:tcPr>
        <w:p>
          <w:r>
            <w:rPr>
              <w:b/>
              <w:color w:val="13294B"/>
            </w:rPr>
            <w:t>MICROSOFT COPILOT LABS</w:t>
          </w:r>
        </w:p>
      </w:tc>
      <w:tc>
        <w:tcPr>
          <w:tcW w:type="dxa" w:w="504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77240" cy="17936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-logo-cropp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" cy="17936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424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3294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67B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329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3294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