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5 SYNTHETIC CASE A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Meridian - Supplier Onboarding Modernisation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A regulated supplier-onboarding case for testing reusable consulting and business-analysis prompts.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INDUSTRY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Life sciences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SOURCES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Participant file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SOURCE BOUNDARY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Use only the records in this document. Similar-looking statements are not automatically confirmed requirements. Keep conflicts and missing ownership visible.</w:t>
            </w:r>
          </w:p>
        </w:tc>
      </w:tr>
    </w:tbl>
    <w:p>
      <w:pPr>
        <w:spacing w:after="20"/>
      </w:pPr>
    </w:p>
    <w:p>
      <w:pPr>
        <w:pStyle w:val="Heading1"/>
      </w:pPr>
      <w:r>
        <w:t>Case objective</w:t>
      </w:r>
    </w:p>
    <w:p>
      <w:r>
        <w:t>Reduce supplier onboarding time while preserving compliance review, evidence traceability and segregation of duties. The discovery team has not yet approved a future-state design.</w:t>
      </w:r>
    </w:p>
    <w:p>
      <w:pPr>
        <w:pStyle w:val="Heading1"/>
      </w:pPr>
      <w:r>
        <w:t>Stakeholders</w:t>
      </w:r>
    </w:p>
    <w:p>
      <w:pPr>
        <w:pStyle w:val="ListBullet"/>
      </w:pPr>
      <w:r>
        <w:t>Elena - Procurement Process Owner</w:t>
      </w:r>
    </w:p>
    <w:p>
      <w:pPr>
        <w:pStyle w:val="ListBullet"/>
      </w:pPr>
      <w:r>
        <w:t>Martin - Compliance Lead</w:t>
      </w:r>
    </w:p>
    <w:p>
      <w:pPr>
        <w:pStyle w:val="ListBullet"/>
      </w:pPr>
      <w:r>
        <w:t>Sara - Accounts Payable Lead</w:t>
      </w:r>
    </w:p>
    <w:p>
      <w:pPr>
        <w:pStyle w:val="ListBullet"/>
      </w:pPr>
      <w:r>
        <w:t>Jonas - IT Product Owner</w:t>
      </w:r>
    </w:p>
    <w:p>
      <w:pPr>
        <w:pStyle w:val="ListBullet"/>
      </w:pPr>
      <w:r>
        <w:t>External supplier representative - not yet nominated</w:t>
      </w:r>
    </w:p>
    <w:p>
      <w:pPr>
        <w:pStyle w:val="Heading1"/>
      </w:pPr>
      <w:r>
        <w:t>Evidence records</w:t>
      </w:r>
    </w:p>
    <w:p>
      <w:pPr>
        <w:pStyle w:val="Heading2"/>
      </w:pPr>
      <w:r>
        <w:t>M-01: Discovery interview notes - Procurement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Elena: The average onboarding takes about 18 working days. The team retypes supplier information from email attachments into SAP.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Elena: I would like a single online form, but I do not know whether external suppliers can access our tenant.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Elena: Procurement should see the overall status. I have not agreed who can override a rejected compliance check.</w:t>
            </w:r>
          </w:p>
        </w:tc>
      </w:tr>
    </w:tbl>
    <w:p>
      <w:pPr>
        <w:pStyle w:val="Heading2"/>
      </w:pPr>
      <w:r>
        <w:t>M-02: Compliance email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Compliance screening must be complete before a supplier is activated. Sanctions and beneficial-ownership evidence must remain available for audit.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The email does not define the retention period. Martin asks the project team to confirm this with Legal before configuration.</w:t>
            </w:r>
          </w:p>
        </w:tc>
      </w:tr>
    </w:tbl>
    <w:p>
      <w:pPr>
        <w:pStyle w:val="Heading2"/>
      </w:pPr>
      <w:r>
        <w:t>M-03: Accounts Payable workshop note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Sara: Banking data should be verified independently from the person who enters it. Accounts Payable currently performs the second check.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Sara: Duplicate supplier records are a recurring problem, especially when legal names differ from trading names.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No decision was made about automatic duplicate blocking versus a warning.</w:t>
            </w:r>
          </w:p>
        </w:tc>
      </w:tr>
    </w:tbl>
    <w:p>
      <w:pPr>
        <w:pStyle w:val="Heading2"/>
      </w:pPr>
      <w:r>
        <w:t>M-04: IT architecture note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Jonas: SAP remains the system of record for active suppliers. A Power Platform front end is technically possible. External access, licensing and data-loss-prevention policies require confirmation.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Jonas recommends starting with a controlled pilot for Danish suppliers. This is a recommendation, not an approved scope decision.</w:t>
            </w:r>
          </w:p>
        </w:tc>
      </w:tr>
    </w:tbl>
    <w:p>
      <w:pPr>
        <w:pStyle w:val="Heading2"/>
      </w:pPr>
      <w:r>
        <w:t>M-05: Steering summary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Confirmed: the discovery phase will produce a current-state map, requirements register and options assessment.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Confirmed: no production automation will be enabled during discovery.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Open: pilot geography, external identity approach, retention period, exception owner and duplicate-handling rule.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Action: Martin will confirm the evidence-retention requirement by 12 September. Elena will nominate a supplier representative; no deadline was agreed.</w:t>
            </w:r>
          </w:p>
        </w:tc>
      </w:tr>
    </w:tbl>
    <w:p>
      <w:pPr>
        <w:pStyle w:val="Heading1"/>
      </w:pPr>
      <w:r>
        <w:t>Participant tasks</w:t>
      </w:r>
    </w:p>
    <w:p>
      <w:pPr>
        <w:pStyle w:val="ListNumber"/>
      </w:pPr>
      <w:r>
        <w:t>Run BA-03 Requirements Evidence Register.</w:t>
      </w:r>
    </w:p>
    <w:p>
      <w:pPr>
        <w:pStyle w:val="ListNumber"/>
      </w:pPr>
      <w:r>
        <w:t>Run BA-04 Ambiguity and Conflict Review.</w:t>
      </w:r>
    </w:p>
    <w:p>
      <w:pPr>
        <w:pStyle w:val="ListNumber"/>
      </w:pPr>
      <w:r>
        <w:t>Run BA-05 Current-State Process and Exceptions.</w:t>
      </w:r>
    </w:p>
    <w:p>
      <w:pPr>
        <w:pStyle w:val="ListNumber"/>
      </w:pPr>
      <w:r>
        <w:t>Do not convert recommendations or open questions into approved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5 Meridian case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