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Aptos" w:hAnsi="Aptos"/>
          <w:b/>
          <w:i w:val="0"/>
          <w:color w:val="2563EB"/>
          <w:sz w:val="18"/>
        </w:rPr>
        <w:t>LAB 4 PARTICIPANT SOURCE PACK</w:t>
      </w:r>
    </w:p>
    <w:p>
      <w:pPr>
        <w:spacing w:after="100"/>
      </w:pPr>
      <w:r>
        <w:rPr>
          <w:rFonts w:ascii="Aptos" w:hAnsi="Aptos"/>
          <w:b/>
          <w:i w:val="0"/>
          <w:color w:val="102A43"/>
          <w:sz w:val="52"/>
        </w:rPr>
        <w:t>Hanna Consulting Tone-of-Voice Samples</w:t>
      </w:r>
    </w:p>
    <w:p>
      <w:pPr>
        <w:spacing w:after="300"/>
      </w:pPr>
      <w:r>
        <w:rPr>
          <w:rFonts w:ascii="Aptos" w:hAnsi="Aptos"/>
          <w:b w:val="0"/>
          <w:i w:val="0"/>
          <w:color w:val="486581"/>
          <w:sz w:val="25"/>
        </w:rPr>
        <w:t>Eight synthetic, redacted examples for identifying a professional communication voice.</w:t>
      </w:r>
    </w:p>
    <w:tbl>
      <w:tblPr>
        <w:tblW w:type="dxa" w:w="9820"/>
        <w:jc w:val="left"/>
        <w:tblLayout w:type="fixed"/>
        <w:tblLook w:firstColumn="1" w:firstRow="1" w:lastColumn="0" w:lastRow="0" w:noHBand="0" w:noVBand="1" w:val="04A0"/>
        <w:tblInd w:w="120" w:type="dxa"/>
        <w:tblBorders>
          <w:top w:val="single" w:sz="6" w:color="C9D9F2"/>
          <w:left w:val="single" w:sz="6" w:color="C9D9F2"/>
          <w:bottom w:val="single" w:sz="6" w:color="C9D9F2"/>
          <w:right w:val="single" w:sz="6" w:color="C9D9F2"/>
          <w:insideH w:val="single" w:sz="6" w:color="C9D9F2"/>
          <w:insideV w:val="single" w:sz="6" w:color="C9D9F2"/>
        </w:tblBorders>
      </w:tblPr>
      <w:tblGrid>
        <w:gridCol w:w="3293"/>
        <w:gridCol w:w="3293"/>
        <w:gridCol w:w="3293"/>
      </w:tblGrid>
      <w:tr>
        <w:tc>
          <w:tcPr>
            <w:tcW w:type="dxa" w:w="3274"/>
            <w:tcMar>
              <w:top w:w="80" w:type="dxa"/>
              <w:start w:w="120" w:type="dxa"/>
              <w:bottom w:w="80" w:type="dxa"/>
              <w:end w:w="120" w:type="dxa"/>
            </w:tcMar>
            <w:shd w:fill="EAF2FF"/>
          </w:tcPr>
          <w:p>
            <w:pPr>
              <w:jc w:val="center"/>
            </w:pPr>
            <w:r>
              <w:rPr>
                <w:rFonts w:ascii="Aptos" w:hAnsi="Aptos"/>
                <w:b/>
                <w:i w:val="0"/>
                <w:color w:val="2563EB"/>
                <w:sz w:val="16"/>
              </w:rPr>
              <w:t>USE</w:t>
              <w:br/>
            </w:r>
            <w:r>
              <w:rPr>
                <w:rFonts w:ascii="Aptos" w:hAnsi="Aptos"/>
                <w:b/>
                <w:i w:val="0"/>
                <w:color w:val="102A43"/>
                <w:sz w:val="20"/>
              </w:rPr>
              <w:t>Tone analysis</w:t>
            </w:r>
          </w:p>
        </w:tc>
        <w:tc>
          <w:tcPr>
            <w:tcW w:type="dxa" w:w="3274"/>
            <w:tcMar>
              <w:top w:w="80" w:type="dxa"/>
              <w:start w:w="120" w:type="dxa"/>
              <w:bottom w:w="80" w:type="dxa"/>
              <w:end w:w="120" w:type="dxa"/>
            </w:tcMar>
            <w:shd w:fill="EAF2FF"/>
          </w:tcPr>
          <w:p>
            <w:pPr>
              <w:jc w:val="center"/>
            </w:pPr>
            <w:r>
              <w:rPr>
                <w:rFonts w:ascii="Aptos" w:hAnsi="Aptos"/>
                <w:b/>
                <w:i w:val="0"/>
                <w:color w:val="2563EB"/>
                <w:sz w:val="16"/>
              </w:rPr>
              <w:t>SAMPLES</w:t>
              <w:br/>
            </w:r>
            <w:r>
              <w:rPr>
                <w:rFonts w:ascii="Aptos" w:hAnsi="Aptos"/>
                <w:b/>
                <w:i w:val="0"/>
                <w:color w:val="102A43"/>
                <w:sz w:val="20"/>
              </w:rPr>
              <w:t>8</w:t>
            </w:r>
          </w:p>
        </w:tc>
        <w:tc>
          <w:tcPr>
            <w:tcW w:type="dxa" w:w="3274"/>
            <w:tcMar>
              <w:top w:w="80" w:type="dxa"/>
              <w:start w:w="120" w:type="dxa"/>
              <w:bottom w:w="80" w:type="dxa"/>
              <w:end w:w="120" w:type="dxa"/>
            </w:tcMar>
            <w:shd w:fill="EAF2FF"/>
          </w:tcPr>
          <w:p>
            <w:pPr>
              <w:jc w:val="center"/>
            </w:pPr>
            <w:r>
              <w:rPr>
                <w:rFonts w:ascii="Aptos" w:hAnsi="Aptos"/>
                <w:b/>
                <w:i w:val="0"/>
                <w:color w:val="2563EB"/>
                <w:sz w:val="16"/>
              </w:rPr>
              <w:t>STATUS</w:t>
              <w:br/>
            </w:r>
            <w:r>
              <w:rPr>
                <w:rFonts w:ascii="Aptos" w:hAnsi="Aptos"/>
                <w:b/>
                <w:i w:val="0"/>
                <w:color w:val="102A43"/>
                <w:sz w:val="20"/>
              </w:rPr>
              <w:t>Participant file</w:t>
            </w:r>
          </w:p>
        </w:tc>
      </w:tr>
    </w:tbl>
    <w:p>
      <w:pPr>
        <w:spacing w:after="40"/>
      </w:pPr>
    </w:p>
    <w:tbl>
      <w:tblPr>
        <w:tblW w:type="dxa" w:w="9820"/>
        <w:jc w:val="left"/>
        <w:tblLayout w:type="fixed"/>
        <w:tblLook w:firstColumn="1" w:firstRow="1" w:lastColumn="0" w:lastRow="0" w:noHBand="0" w:noVBand="1" w:val="04A0"/>
        <w:tblInd w:w="120" w:type="dxa"/>
        <w:tblBorders>
          <w:top w:val="single" w:sz="6" w:color="FDECEC"/>
          <w:left w:val="single" w:sz="6" w:color="FDECEC"/>
          <w:bottom w:val="single" w:sz="6" w:color="FDECEC"/>
          <w:right w:val="single" w:sz="6" w:color="FDECEC"/>
          <w:insideH w:val="single" w:sz="6" w:color="FDECEC"/>
          <w:insideV w:val="single" w:sz="6" w:color="FDECEC"/>
        </w:tblBorders>
      </w:tblPr>
      <w:tblGrid>
        <w:gridCol w:w="9878"/>
      </w:tblGrid>
      <w:tr>
        <w:tc>
          <w:tcPr>
            <w:tcW w:type="dxa" w:w="9821"/>
            <w:tcMar>
              <w:top w:w="80" w:type="dxa"/>
              <w:start w:w="120" w:type="dxa"/>
              <w:bottom w:w="80" w:type="dxa"/>
              <w:end w:w="120" w:type="dxa"/>
            </w:tcMar>
            <w:shd w:fill="FDECEC"/>
          </w:tcPr>
          <w:p>
            <w:r>
              <w:rPr>
                <w:rFonts w:ascii="Aptos" w:hAnsi="Aptos"/>
                <w:b/>
                <w:i w:val="0"/>
                <w:color w:val="A33A3A"/>
                <w:sz w:val="17"/>
              </w:rPr>
              <w:t>IMPORTANT</w:t>
              <w:br/>
            </w:r>
            <w:r>
              <w:rPr>
                <w:rFonts w:ascii="Aptos" w:hAnsi="Aptos"/>
                <w:b w:val="0"/>
                <w:i w:val="0"/>
                <w:color w:val="1F2933"/>
                <w:sz w:val="20"/>
              </w:rPr>
              <w:t>These are workshop examples written to represent Hanna's intended professional style. They contain no customer or production information. Learn the communication patterns, not case-specific names or facts.</w:t>
            </w:r>
          </w:p>
        </w:tc>
      </w:tr>
    </w:tbl>
    <w:p>
      <w:pPr>
        <w:spacing w:after="20"/>
      </w:pPr>
    </w:p>
    <w:p>
      <w:pPr>
        <w:pStyle w:val="Heading1"/>
      </w:pPr>
      <w:r>
        <w:t>How to use this pack</w:t>
      </w:r>
    </w:p>
    <w:p>
      <w:pPr>
        <w:pStyle w:val="ListBullet"/>
      </w:pPr>
      <w:r>
        <w:t>Analyse recurring patterns across several samples, not isolated phrases.</w:t>
      </w:r>
    </w:p>
    <w:p>
      <w:pPr>
        <w:pStyle w:val="ListBullet"/>
      </w:pPr>
      <w:r>
        <w:t>Treat proposed tone rules as hypotheses until a person accepts, edits or rejects them.</w:t>
      </w:r>
    </w:p>
    <w:p>
      <w:pPr>
        <w:pStyle w:val="ListBullet"/>
      </w:pPr>
      <w:r>
        <w:t>Do not reproduce spelling mistakes, typing errors, names, dates or commitments as tone rules.</w:t>
      </w:r>
    </w:p>
    <w:p>
      <w:pPr>
        <w:pStyle w:val="ListBullet"/>
      </w:pPr>
      <w:r>
        <w:t>Keep the final voice guide separate from the examples that helped create it.</w:t>
      </w:r>
    </w:p>
    <w:p>
      <w:pPr>
        <w:pStyle w:val="Heading2"/>
      </w:pPr>
      <w:r>
        <w:t>Sample 1: Client status update</w:t>
      </w:r>
    </w:p>
    <w:p>
      <w:r>
        <w:rPr>
          <w:rFonts w:ascii="Aptos" w:hAnsi="Aptos"/>
          <w:b/>
          <w:i w:val="0"/>
          <w:color w:val="486581"/>
          <w:sz w:val="22"/>
        </w:rPr>
        <w:t xml:space="preserve">Context: </w:t>
      </w:r>
      <w:r>
        <w:rPr>
          <w:rFonts w:ascii="Aptos" w:hAnsi="Aptos"/>
          <w:b w:val="0"/>
          <w:i w:val="0"/>
          <w:color w:val="1F2933"/>
          <w:sz w:val="22"/>
        </w:rPr>
        <w:t>A client needs a clear update about a delivery risk.</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9878"/>
      </w:tblGrid>
      <w:tr>
        <w:tc>
          <w:tcPr>
            <w:tcW w:type="dxa" w:w="9821"/>
            <w:tcMar>
              <w:top w:w="80" w:type="dxa"/>
              <w:start w:w="120" w:type="dxa"/>
              <w:bottom w:w="80" w:type="dxa"/>
              <w:end w:w="120" w:type="dxa"/>
            </w:tcMar>
            <w:shd w:fill="F4F7FA"/>
          </w:tcPr>
          <w:p>
            <w:r>
              <w:rPr>
                <w:rFonts w:ascii="Aptos" w:hAnsi="Aptos"/>
                <w:b w:val="0"/>
                <w:i w:val="0"/>
                <w:color w:val="1F2933"/>
                <w:sz w:val="20"/>
              </w:rPr>
              <w:t>Hi Alex,</w:t>
            </w:r>
            <w:r>
              <w:br/>
            </w:r>
            <w:r>
              <w:rPr>
                <w:rFonts w:ascii="Aptos" w:hAnsi="Aptos"/>
                <w:b w:val="0"/>
                <w:i w:val="0"/>
                <w:color w:val="1F2933"/>
                <w:sz w:val="20"/>
              </w:rPr>
            </w:r>
            <w:r>
              <w:br/>
            </w:r>
            <w:r>
              <w:rPr>
                <w:rFonts w:ascii="Aptos" w:hAnsi="Aptos"/>
                <w:b w:val="0"/>
                <w:i w:val="0"/>
                <w:color w:val="1F2933"/>
                <w:sz w:val="20"/>
              </w:rPr>
              <w:t>A quick update on the UAT environment. The security configuration will finish on Monday afternoon, so the environment will be ready on Tuesday morning rather than Monday. This does not currently change the planned launch date.</w:t>
            </w:r>
            <w:r>
              <w:br/>
            </w:r>
            <w:r>
              <w:rPr>
                <w:rFonts w:ascii="Aptos" w:hAnsi="Aptos"/>
                <w:b w:val="0"/>
                <w:i w:val="0"/>
                <w:color w:val="1F2933"/>
                <w:sz w:val="20"/>
              </w:rPr>
            </w:r>
            <w:r>
              <w:br/>
            </w:r>
            <w:r>
              <w:rPr>
                <w:rFonts w:ascii="Aptos" w:hAnsi="Aptos"/>
                <w:b w:val="0"/>
                <w:i w:val="0"/>
                <w:color w:val="1F2933"/>
                <w:sz w:val="20"/>
              </w:rPr>
              <w:t>Mark will confirm readiness by 15:00 on Monday. I will send you the final confirmation as soon as we have it.</w:t>
            </w:r>
            <w:r>
              <w:br/>
            </w:r>
            <w:r>
              <w:rPr>
                <w:rFonts w:ascii="Aptos" w:hAnsi="Aptos"/>
                <w:b w:val="0"/>
                <w:i w:val="0"/>
                <w:color w:val="1F2933"/>
                <w:sz w:val="20"/>
              </w:rPr>
            </w:r>
            <w:r>
              <w:br/>
            </w:r>
            <w:r>
              <w:rPr>
                <w:rFonts w:ascii="Aptos" w:hAnsi="Aptos"/>
                <w:b w:val="0"/>
                <w:i w:val="0"/>
                <w:color w:val="1F2933"/>
                <w:sz w:val="20"/>
              </w:rPr>
              <w:t>Best,</w:t>
            </w:r>
            <w:r>
              <w:br/>
            </w:r>
            <w:r>
              <w:rPr>
                <w:rFonts w:ascii="Aptos" w:hAnsi="Aptos"/>
                <w:b w:val="0"/>
                <w:i w:val="0"/>
                <w:color w:val="1F2933"/>
                <w:sz w:val="20"/>
              </w:rPr>
              <w:t>Hanna</w:t>
            </w:r>
          </w:p>
        </w:tc>
      </w:tr>
    </w:tbl>
    <w:p>
      <w:pPr>
        <w:pStyle w:val="Heading2"/>
      </w:pPr>
      <w:r>
        <w:t>Sample 2: Clarification request</w:t>
      </w:r>
    </w:p>
    <w:p>
      <w:r>
        <w:rPr>
          <w:rFonts w:ascii="Aptos" w:hAnsi="Aptos"/>
          <w:b/>
          <w:i w:val="0"/>
          <w:color w:val="486581"/>
          <w:sz w:val="22"/>
        </w:rPr>
        <w:t xml:space="preserve">Context: </w:t>
      </w:r>
      <w:r>
        <w:rPr>
          <w:rFonts w:ascii="Aptos" w:hAnsi="Aptos"/>
          <w:b w:val="0"/>
          <w:i w:val="0"/>
          <w:color w:val="1F2933"/>
          <w:sz w:val="22"/>
        </w:rPr>
        <w:t>A requirement appears clear, but one business rule is still missing.</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9878"/>
      </w:tblGrid>
      <w:tr>
        <w:tc>
          <w:tcPr>
            <w:tcW w:type="dxa" w:w="9821"/>
            <w:tcMar>
              <w:top w:w="80" w:type="dxa"/>
              <w:start w:w="120" w:type="dxa"/>
              <w:bottom w:w="80" w:type="dxa"/>
              <w:end w:w="120" w:type="dxa"/>
            </w:tcMar>
            <w:shd w:fill="F4F7FA"/>
          </w:tcPr>
          <w:p>
            <w:r>
              <w:rPr>
                <w:rFonts w:ascii="Aptos" w:hAnsi="Aptos"/>
                <w:b w:val="0"/>
                <w:i w:val="0"/>
                <w:color w:val="1F2933"/>
                <w:sz w:val="20"/>
              </w:rPr>
              <w:t>Hi Maria,</w:t>
            </w:r>
            <w:r>
              <w:br/>
            </w:r>
            <w:r>
              <w:rPr>
                <w:rFonts w:ascii="Aptos" w:hAnsi="Aptos"/>
                <w:b w:val="0"/>
                <w:i w:val="0"/>
                <w:color w:val="1F2933"/>
                <w:sz w:val="20"/>
              </w:rPr>
            </w:r>
            <w:r>
              <w:br/>
            </w:r>
            <w:r>
              <w:rPr>
                <w:rFonts w:ascii="Aptos" w:hAnsi="Aptos"/>
                <w:b w:val="0"/>
                <w:i w:val="0"/>
                <w:color w:val="1F2933"/>
                <w:sz w:val="20"/>
              </w:rPr>
              <w:t>Before we finalise this requirement, I would like to confirm one point. Should the payment limit apply to every transaction, or to the customer's total payments during a rolling 24-hour period?</w:t>
            </w:r>
            <w:r>
              <w:br/>
            </w:r>
            <w:r>
              <w:rPr>
                <w:rFonts w:ascii="Aptos" w:hAnsi="Aptos"/>
                <w:b w:val="0"/>
                <w:i w:val="0"/>
                <w:color w:val="1F2933"/>
                <w:sz w:val="20"/>
              </w:rPr>
            </w:r>
            <w:r>
              <w:br/>
            </w:r>
            <w:r>
              <w:rPr>
                <w:rFonts w:ascii="Aptos" w:hAnsi="Aptos"/>
                <w:b w:val="0"/>
                <w:i w:val="0"/>
                <w:color w:val="1F2933"/>
                <w:sz w:val="20"/>
              </w:rPr>
              <w:t>The answer affects both the validation logic and the message shown to the customer. Once this is confirmed, I can update the requirement and acceptance criteria.</w:t>
            </w:r>
            <w:r>
              <w:br/>
            </w:r>
            <w:r>
              <w:rPr>
                <w:rFonts w:ascii="Aptos" w:hAnsi="Aptos"/>
                <w:b w:val="0"/>
                <w:i w:val="0"/>
                <w:color w:val="1F2933"/>
                <w:sz w:val="20"/>
              </w:rPr>
            </w:r>
            <w:r>
              <w:br/>
            </w:r>
            <w:r>
              <w:rPr>
                <w:rFonts w:ascii="Aptos" w:hAnsi="Aptos"/>
                <w:b w:val="0"/>
                <w:i w:val="0"/>
                <w:color w:val="1F2933"/>
                <w:sz w:val="20"/>
              </w:rPr>
              <w:t>Thank you,</w:t>
            </w:r>
            <w:r>
              <w:br/>
            </w:r>
            <w:r>
              <w:rPr>
                <w:rFonts w:ascii="Aptos" w:hAnsi="Aptos"/>
                <w:b w:val="0"/>
                <w:i w:val="0"/>
                <w:color w:val="1F2933"/>
                <w:sz w:val="20"/>
              </w:rPr>
              <w:t>Hanna</w:t>
            </w:r>
          </w:p>
        </w:tc>
      </w:tr>
    </w:tbl>
    <w:p>
      <w:pPr>
        <w:pStyle w:val="Heading2"/>
      </w:pPr>
      <w:r>
        <w:t>Sample 3: Meeting follow-up</w:t>
      </w:r>
    </w:p>
    <w:p>
      <w:r>
        <w:rPr>
          <w:rFonts w:ascii="Aptos" w:hAnsi="Aptos"/>
          <w:b/>
          <w:i w:val="0"/>
          <w:color w:val="486581"/>
          <w:sz w:val="22"/>
        </w:rPr>
        <w:t xml:space="preserve">Context: </w:t>
      </w:r>
      <w:r>
        <w:rPr>
          <w:rFonts w:ascii="Aptos" w:hAnsi="Aptos"/>
          <w:b w:val="0"/>
          <w:i w:val="0"/>
          <w:color w:val="1F2933"/>
          <w:sz w:val="22"/>
        </w:rPr>
        <w:t>The team needs decisions and actions, not a full transcript.</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9878"/>
      </w:tblGrid>
      <w:tr>
        <w:tc>
          <w:tcPr>
            <w:tcW w:type="dxa" w:w="9821"/>
            <w:tcMar>
              <w:top w:w="80" w:type="dxa"/>
              <w:start w:w="120" w:type="dxa"/>
              <w:bottom w:w="80" w:type="dxa"/>
              <w:end w:w="120" w:type="dxa"/>
            </w:tcMar>
            <w:shd w:fill="F4F7FA"/>
          </w:tcPr>
          <w:p>
            <w:r>
              <w:rPr>
                <w:rFonts w:ascii="Aptos" w:hAnsi="Aptos"/>
                <w:b w:val="0"/>
                <w:i w:val="0"/>
                <w:color w:val="1F2933"/>
                <w:sz w:val="20"/>
              </w:rPr>
              <w:t>Hi everyone,</w:t>
            </w:r>
            <w:r>
              <w:br/>
            </w:r>
            <w:r>
              <w:rPr>
                <w:rFonts w:ascii="Aptos" w:hAnsi="Aptos"/>
                <w:b w:val="0"/>
                <w:i w:val="0"/>
                <w:color w:val="1F2933"/>
                <w:sz w:val="20"/>
              </w:rPr>
            </w:r>
            <w:r>
              <w:br/>
            </w:r>
            <w:r>
              <w:rPr>
                <w:rFonts w:ascii="Aptos" w:hAnsi="Aptos"/>
                <w:b w:val="0"/>
                <w:i w:val="0"/>
                <w:color w:val="1F2933"/>
                <w:sz w:val="20"/>
              </w:rPr>
              <w:t>Thank you for today's discussion. We confirmed that UAT can begin while external access remains disabled. Priya will complete the timeout test and confirm the result by Thursday at 15:00.</w:t>
            </w:r>
            <w:r>
              <w:br/>
            </w:r>
            <w:r>
              <w:rPr>
                <w:rFonts w:ascii="Aptos" w:hAnsi="Aptos"/>
                <w:b w:val="0"/>
                <w:i w:val="0"/>
                <w:color w:val="1F2933"/>
                <w:sz w:val="20"/>
              </w:rPr>
            </w:r>
            <w:r>
              <w:br/>
            </w:r>
            <w:r>
              <w:rPr>
                <w:rFonts w:ascii="Aptos" w:hAnsi="Aptos"/>
                <w:b w:val="0"/>
                <w:i w:val="0"/>
                <w:color w:val="1F2933"/>
                <w:sz w:val="20"/>
              </w:rPr>
              <w:t>The training-video branding and homepage redesign were not part of today's decision, so I have kept them as follow-up topics.</w:t>
            </w:r>
            <w:r>
              <w:br/>
            </w:r>
            <w:r>
              <w:rPr>
                <w:rFonts w:ascii="Aptos" w:hAnsi="Aptos"/>
                <w:b w:val="0"/>
                <w:i w:val="0"/>
                <w:color w:val="1F2933"/>
                <w:sz w:val="20"/>
              </w:rPr>
            </w:r>
            <w:r>
              <w:br/>
            </w:r>
            <w:r>
              <w:rPr>
                <w:rFonts w:ascii="Aptos" w:hAnsi="Aptos"/>
                <w:b w:val="0"/>
                <w:i w:val="0"/>
                <w:color w:val="1F2933"/>
                <w:sz w:val="20"/>
              </w:rPr>
              <w:t>Please let me know today if I have captured anything incorrectly.</w:t>
            </w:r>
            <w:r>
              <w:br/>
            </w:r>
            <w:r>
              <w:rPr>
                <w:rFonts w:ascii="Aptos" w:hAnsi="Aptos"/>
                <w:b w:val="0"/>
                <w:i w:val="0"/>
                <w:color w:val="1F2933"/>
                <w:sz w:val="20"/>
              </w:rPr>
            </w:r>
            <w:r>
              <w:br/>
            </w:r>
            <w:r>
              <w:rPr>
                <w:rFonts w:ascii="Aptos" w:hAnsi="Aptos"/>
                <w:b w:val="0"/>
                <w:i w:val="0"/>
                <w:color w:val="1F2933"/>
                <w:sz w:val="20"/>
              </w:rPr>
              <w:t>Best,</w:t>
            </w:r>
            <w:r>
              <w:br/>
            </w:r>
            <w:r>
              <w:rPr>
                <w:rFonts w:ascii="Aptos" w:hAnsi="Aptos"/>
                <w:b w:val="0"/>
                <w:i w:val="0"/>
                <w:color w:val="1F2933"/>
                <w:sz w:val="20"/>
              </w:rPr>
              <w:t>Hanna</w:t>
            </w:r>
          </w:p>
        </w:tc>
      </w:tr>
    </w:tbl>
    <w:p>
      <w:pPr>
        <w:pStyle w:val="Heading2"/>
      </w:pPr>
      <w:r>
        <w:t>Sample 4: Scope-change explanation</w:t>
      </w:r>
    </w:p>
    <w:p>
      <w:r>
        <w:rPr>
          <w:rFonts w:ascii="Aptos" w:hAnsi="Aptos"/>
          <w:b/>
          <w:i w:val="0"/>
          <w:color w:val="486581"/>
          <w:sz w:val="22"/>
        </w:rPr>
        <w:t xml:space="preserve">Context: </w:t>
      </w:r>
      <w:r>
        <w:rPr>
          <w:rFonts w:ascii="Aptos" w:hAnsi="Aptos"/>
          <w:b w:val="0"/>
          <w:i w:val="0"/>
          <w:color w:val="1F2933"/>
          <w:sz w:val="22"/>
        </w:rPr>
        <w:t>A stakeholder asks for something useful that is outside the agreed delivery.</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9878"/>
      </w:tblGrid>
      <w:tr>
        <w:tc>
          <w:tcPr>
            <w:tcW w:type="dxa" w:w="9821"/>
            <w:tcMar>
              <w:top w:w="80" w:type="dxa"/>
              <w:start w:w="120" w:type="dxa"/>
              <w:bottom w:w="80" w:type="dxa"/>
              <w:end w:w="120" w:type="dxa"/>
            </w:tcMar>
            <w:shd w:fill="F4F7FA"/>
          </w:tcPr>
          <w:p>
            <w:r>
              <w:rPr>
                <w:rFonts w:ascii="Aptos" w:hAnsi="Aptos"/>
                <w:b w:val="0"/>
                <w:i w:val="0"/>
                <w:color w:val="1F2933"/>
                <w:sz w:val="20"/>
              </w:rPr>
              <w:t>Hi Daniel,</w:t>
            </w:r>
            <w:r>
              <w:br/>
            </w:r>
            <w:r>
              <w:rPr>
                <w:rFonts w:ascii="Aptos" w:hAnsi="Aptos"/>
                <w:b w:val="0"/>
                <w:i w:val="0"/>
                <w:color w:val="1F2933"/>
                <w:sz w:val="20"/>
              </w:rPr>
            </w:r>
            <w:r>
              <w:br/>
            </w:r>
            <w:r>
              <w:rPr>
                <w:rFonts w:ascii="Aptos" w:hAnsi="Aptos"/>
                <w:b w:val="0"/>
                <w:i w:val="0"/>
                <w:color w:val="1F2933"/>
                <w:sz w:val="20"/>
              </w:rPr>
              <w:t>The dashboard filter is a useful addition, but it is not included in the approved scope for this release. Adding it now would require changes to the data model, interface and test cases.</w:t>
            </w:r>
            <w:r>
              <w:br/>
            </w:r>
            <w:r>
              <w:rPr>
                <w:rFonts w:ascii="Aptos" w:hAnsi="Aptos"/>
                <w:b w:val="0"/>
                <w:i w:val="0"/>
                <w:color w:val="1F2933"/>
                <w:sz w:val="20"/>
              </w:rPr>
            </w:r>
            <w:r>
              <w:br/>
            </w:r>
            <w:r>
              <w:rPr>
                <w:rFonts w:ascii="Aptos" w:hAnsi="Aptos"/>
                <w:b w:val="0"/>
                <w:i w:val="0"/>
                <w:color w:val="1F2933"/>
                <w:sz w:val="20"/>
              </w:rPr>
              <w:t>I suggest that we record it as a separate change request and estimate it before deciding whether it should replace another item or move to the next release.</w:t>
            </w:r>
            <w:r>
              <w:br/>
            </w:r>
            <w:r>
              <w:rPr>
                <w:rFonts w:ascii="Aptos" w:hAnsi="Aptos"/>
                <w:b w:val="0"/>
                <w:i w:val="0"/>
                <w:color w:val="1F2933"/>
                <w:sz w:val="20"/>
              </w:rPr>
            </w:r>
            <w:r>
              <w:br/>
            </w:r>
            <w:r>
              <w:rPr>
                <w:rFonts w:ascii="Aptos" w:hAnsi="Aptos"/>
                <w:b w:val="0"/>
                <w:i w:val="0"/>
                <w:color w:val="1F2933"/>
                <w:sz w:val="20"/>
              </w:rPr>
              <w:t>I can prepare the change description for our next prioritisation call.</w:t>
            </w:r>
            <w:r>
              <w:br/>
            </w:r>
            <w:r>
              <w:rPr>
                <w:rFonts w:ascii="Aptos" w:hAnsi="Aptos"/>
                <w:b w:val="0"/>
                <w:i w:val="0"/>
                <w:color w:val="1F2933"/>
                <w:sz w:val="20"/>
              </w:rPr>
            </w:r>
            <w:r>
              <w:br/>
            </w:r>
            <w:r>
              <w:rPr>
                <w:rFonts w:ascii="Aptos" w:hAnsi="Aptos"/>
                <w:b w:val="0"/>
                <w:i w:val="0"/>
                <w:color w:val="1F2933"/>
                <w:sz w:val="20"/>
              </w:rPr>
              <w:t>Best,</w:t>
            </w:r>
            <w:r>
              <w:br/>
            </w:r>
            <w:r>
              <w:rPr>
                <w:rFonts w:ascii="Aptos" w:hAnsi="Aptos"/>
                <w:b w:val="0"/>
                <w:i w:val="0"/>
                <w:color w:val="1F2933"/>
                <w:sz w:val="20"/>
              </w:rPr>
              <w:t>Hanna</w:t>
            </w:r>
          </w:p>
        </w:tc>
      </w:tr>
    </w:tbl>
    <w:p>
      <w:pPr>
        <w:pStyle w:val="Heading2"/>
      </w:pPr>
      <w:r>
        <w:t>Sample 5: Polite disagreement</w:t>
      </w:r>
    </w:p>
    <w:p>
      <w:r>
        <w:rPr>
          <w:rFonts w:ascii="Aptos" w:hAnsi="Aptos"/>
          <w:b/>
          <w:i w:val="0"/>
          <w:color w:val="486581"/>
          <w:sz w:val="22"/>
        </w:rPr>
        <w:t xml:space="preserve">Context: </w:t>
      </w:r>
      <w:r>
        <w:rPr>
          <w:rFonts w:ascii="Aptos" w:hAnsi="Aptos"/>
          <w:b w:val="0"/>
          <w:i w:val="0"/>
          <w:color w:val="1F2933"/>
          <w:sz w:val="22"/>
        </w:rPr>
        <w:t>A proposed solution addresses the visible problem but not its cause.</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9878"/>
      </w:tblGrid>
      <w:tr>
        <w:tc>
          <w:tcPr>
            <w:tcW w:type="dxa" w:w="9821"/>
            <w:tcMar>
              <w:top w:w="80" w:type="dxa"/>
              <w:start w:w="120" w:type="dxa"/>
              <w:bottom w:w="80" w:type="dxa"/>
              <w:end w:w="120" w:type="dxa"/>
            </w:tcMar>
            <w:shd w:fill="F4F7FA"/>
          </w:tcPr>
          <w:p>
            <w:r>
              <w:rPr>
                <w:rFonts w:ascii="Aptos" w:hAnsi="Aptos"/>
                <w:b w:val="0"/>
                <w:i w:val="0"/>
                <w:color w:val="1F2933"/>
                <w:sz w:val="20"/>
              </w:rPr>
              <w:t>I understand why adding another approval step feels safer. My concern is that it may slow every standard case without preventing the original error.</w:t>
            </w:r>
            <w:r>
              <w:br/>
            </w:r>
            <w:r>
              <w:rPr>
                <w:rFonts w:ascii="Aptos" w:hAnsi="Aptos"/>
                <w:b w:val="0"/>
                <w:i w:val="0"/>
                <w:color w:val="1F2933"/>
                <w:sz w:val="20"/>
              </w:rPr>
            </w:r>
            <w:r>
              <w:br/>
            </w:r>
            <w:r>
              <w:rPr>
                <w:rFonts w:ascii="Aptos" w:hAnsi="Aptos"/>
                <w:b w:val="0"/>
                <w:i w:val="0"/>
                <w:color w:val="1F2933"/>
                <w:sz w:val="20"/>
              </w:rPr>
              <w:t>The evidence suggests that the problem happens when the owner field is empty. I recommend validating that field before submission and routing only exceptions for approval.</w:t>
            </w:r>
            <w:r>
              <w:br/>
            </w:r>
            <w:r>
              <w:rPr>
                <w:rFonts w:ascii="Aptos" w:hAnsi="Aptos"/>
                <w:b w:val="0"/>
                <w:i w:val="0"/>
                <w:color w:val="1F2933"/>
                <w:sz w:val="20"/>
              </w:rPr>
            </w:r>
            <w:r>
              <w:br/>
            </w:r>
            <w:r>
              <w:rPr>
                <w:rFonts w:ascii="Aptos" w:hAnsi="Aptos"/>
                <w:b w:val="0"/>
                <w:i w:val="0"/>
                <w:color w:val="1F2933"/>
                <w:sz w:val="20"/>
              </w:rPr>
              <w:t>We can test both options against the same three scenarios before making the final decision.</w:t>
            </w:r>
          </w:p>
        </w:tc>
      </w:tr>
    </w:tbl>
    <w:p>
      <w:pPr>
        <w:pStyle w:val="Heading2"/>
      </w:pPr>
      <w:r>
        <w:t>Sample 6: Professional introduction</w:t>
      </w:r>
    </w:p>
    <w:p>
      <w:r>
        <w:rPr>
          <w:rFonts w:ascii="Aptos" w:hAnsi="Aptos"/>
          <w:b/>
          <w:i w:val="0"/>
          <w:color w:val="486581"/>
          <w:sz w:val="22"/>
        </w:rPr>
        <w:t xml:space="preserve">Context: </w:t>
      </w:r>
      <w:r>
        <w:rPr>
          <w:rFonts w:ascii="Aptos" w:hAnsi="Aptos"/>
          <w:b w:val="0"/>
          <w:i w:val="0"/>
          <w:color w:val="1F2933"/>
          <w:sz w:val="22"/>
        </w:rPr>
        <w:t>A short introduction at the beginning of an AI workshop.</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9878"/>
      </w:tblGrid>
      <w:tr>
        <w:tc>
          <w:tcPr>
            <w:tcW w:type="dxa" w:w="9821"/>
            <w:tcMar>
              <w:top w:w="80" w:type="dxa"/>
              <w:start w:w="120" w:type="dxa"/>
              <w:bottom w:w="80" w:type="dxa"/>
              <w:end w:w="120" w:type="dxa"/>
            </w:tcMar>
            <w:shd w:fill="F4F7FA"/>
          </w:tcPr>
          <w:p>
            <w:r>
              <w:rPr>
                <w:rFonts w:ascii="Aptos" w:hAnsi="Aptos"/>
                <w:b w:val="0"/>
                <w:i w:val="0"/>
                <w:color w:val="1F2933"/>
                <w:sz w:val="20"/>
              </w:rPr>
              <w:t>Good morning, everyone. I am Hanna, and I will be your trainer for these two days.</w:t>
            </w:r>
            <w:r>
              <w:br/>
            </w:r>
            <w:r>
              <w:rPr>
                <w:rFonts w:ascii="Aptos" w:hAnsi="Aptos"/>
                <w:b w:val="0"/>
                <w:i w:val="0"/>
                <w:color w:val="1F2933"/>
                <w:sz w:val="20"/>
              </w:rPr>
            </w:r>
            <w:r>
              <w:br/>
            </w:r>
            <w:r>
              <w:rPr>
                <w:rFonts w:ascii="Aptos" w:hAnsi="Aptos"/>
                <w:b w:val="0"/>
                <w:i w:val="0"/>
                <w:color w:val="1F2933"/>
                <w:sz w:val="20"/>
              </w:rPr>
              <w:t>My background is in business analysis, product ownership and process improvement. I use Copilot to prepare for meetings, structure requirements, analyse information and create clearer communication for different audiences.</w:t>
            </w:r>
            <w:r>
              <w:br/>
            </w:r>
            <w:r>
              <w:rPr>
                <w:rFonts w:ascii="Aptos" w:hAnsi="Aptos"/>
                <w:b w:val="0"/>
                <w:i w:val="0"/>
                <w:color w:val="1F2933"/>
                <w:sz w:val="20"/>
              </w:rPr>
            </w:r>
            <w:r>
              <w:br/>
            </w:r>
            <w:r>
              <w:rPr>
                <w:rFonts w:ascii="Aptos" w:hAnsi="Aptos"/>
                <w:b w:val="0"/>
                <w:i w:val="0"/>
                <w:color w:val="1F2933"/>
                <w:sz w:val="20"/>
              </w:rPr>
              <w:t>I treat Copilot as a capable working partner, not as an automatic source of truth. It can help us move faster, but we remain responsible for checking the sources, assumptions and final result.</w:t>
            </w:r>
          </w:p>
        </w:tc>
      </w:tr>
    </w:tbl>
    <w:p>
      <w:pPr>
        <w:pStyle w:val="Heading2"/>
      </w:pPr>
      <w:r>
        <w:t>Sample 7: LinkedIn update</w:t>
      </w:r>
    </w:p>
    <w:p>
      <w:r>
        <w:rPr>
          <w:rFonts w:ascii="Aptos" w:hAnsi="Aptos"/>
          <w:b/>
          <w:i w:val="0"/>
          <w:color w:val="486581"/>
          <w:sz w:val="22"/>
        </w:rPr>
        <w:t xml:space="preserve">Context: </w:t>
      </w:r>
      <w:r>
        <w:rPr>
          <w:rFonts w:ascii="Aptos" w:hAnsi="Aptos"/>
          <w:b w:val="0"/>
          <w:i w:val="0"/>
          <w:color w:val="1F2933"/>
          <w:sz w:val="22"/>
        </w:rPr>
        <w:t>A short post after attending a professional technology event.</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9878"/>
      </w:tblGrid>
      <w:tr>
        <w:tc>
          <w:tcPr>
            <w:tcW w:type="dxa" w:w="9821"/>
            <w:tcMar>
              <w:top w:w="80" w:type="dxa"/>
              <w:start w:w="120" w:type="dxa"/>
              <w:bottom w:w="80" w:type="dxa"/>
              <w:end w:w="120" w:type="dxa"/>
            </w:tcMar>
            <w:shd w:fill="F4F7FA"/>
          </w:tcPr>
          <w:p>
            <w:r>
              <w:rPr>
                <w:rFonts w:ascii="Aptos" w:hAnsi="Aptos"/>
                <w:b w:val="0"/>
                <w:i w:val="0"/>
                <w:color w:val="1F2933"/>
                <w:sz w:val="20"/>
              </w:rPr>
              <w:t>Back from TechBBQ with new ideas, useful conversations and several connections I am looking forward to continuing.</w:t>
            </w:r>
            <w:r>
              <w:br/>
            </w:r>
            <w:r>
              <w:rPr>
                <w:rFonts w:ascii="Aptos" w:hAnsi="Aptos"/>
                <w:b w:val="0"/>
                <w:i w:val="0"/>
                <w:color w:val="1F2933"/>
                <w:sz w:val="20"/>
              </w:rPr>
            </w:r>
            <w:r>
              <w:br/>
            </w:r>
            <w:r>
              <w:rPr>
                <w:rFonts w:ascii="Aptos" w:hAnsi="Aptos"/>
                <w:b w:val="0"/>
                <w:i w:val="0"/>
                <w:color w:val="1F2933"/>
                <w:sz w:val="20"/>
              </w:rPr>
              <w:t>The most valuable part was not one presentation or product. It was the chance to compare how different teams are turning AI ideas into practical work.</w:t>
            </w:r>
            <w:r>
              <w:br/>
            </w:r>
            <w:r>
              <w:rPr>
                <w:rFonts w:ascii="Aptos" w:hAnsi="Aptos"/>
                <w:b w:val="0"/>
                <w:i w:val="0"/>
                <w:color w:val="1F2933"/>
                <w:sz w:val="20"/>
              </w:rPr>
            </w:r>
            <w:r>
              <w:br/>
            </w:r>
            <w:r>
              <w:rPr>
                <w:rFonts w:ascii="Aptos" w:hAnsi="Aptos"/>
                <w:b w:val="0"/>
                <w:i w:val="0"/>
                <w:color w:val="1F2933"/>
                <w:sz w:val="20"/>
              </w:rPr>
              <w:t>And yes, the robot dog was difficult to ignore.</w:t>
            </w:r>
          </w:p>
        </w:tc>
      </w:tr>
    </w:tbl>
    <w:p>
      <w:pPr>
        <w:pStyle w:val="Heading2"/>
      </w:pPr>
      <w:r>
        <w:t>Sample 8: Action confirmation</w:t>
      </w:r>
    </w:p>
    <w:p>
      <w:r>
        <w:rPr>
          <w:rFonts w:ascii="Aptos" w:hAnsi="Aptos"/>
          <w:b/>
          <w:i w:val="0"/>
          <w:color w:val="486581"/>
          <w:sz w:val="22"/>
        </w:rPr>
        <w:t xml:space="preserve">Context: </w:t>
      </w:r>
      <w:r>
        <w:rPr>
          <w:rFonts w:ascii="Aptos" w:hAnsi="Aptos"/>
          <w:b w:val="0"/>
          <w:i w:val="0"/>
          <w:color w:val="1F2933"/>
          <w:sz w:val="22"/>
        </w:rPr>
        <w:t>A consultant confirms what will happen next without creating false certainty.</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9878"/>
      </w:tblGrid>
      <w:tr>
        <w:tc>
          <w:tcPr>
            <w:tcW w:type="dxa" w:w="9821"/>
            <w:tcMar>
              <w:top w:w="80" w:type="dxa"/>
              <w:start w:w="120" w:type="dxa"/>
              <w:bottom w:w="80" w:type="dxa"/>
              <w:end w:w="120" w:type="dxa"/>
            </w:tcMar>
            <w:shd w:fill="F4F7FA"/>
          </w:tcPr>
          <w:p>
            <w:r>
              <w:rPr>
                <w:rFonts w:ascii="Aptos" w:hAnsi="Aptos"/>
                <w:b w:val="0"/>
                <w:i w:val="0"/>
                <w:color w:val="1F2933"/>
                <w:sz w:val="20"/>
              </w:rPr>
              <w:t>Thanks, this gives me enough information to prepare the first version. I will update the process flow and requirements by Wednesday.</w:t>
            </w:r>
            <w:r>
              <w:br/>
            </w:r>
            <w:r>
              <w:rPr>
                <w:rFonts w:ascii="Aptos" w:hAnsi="Aptos"/>
                <w:b w:val="0"/>
                <w:i w:val="0"/>
                <w:color w:val="1F2933"/>
                <w:sz w:val="20"/>
              </w:rPr>
            </w:r>
            <w:r>
              <w:br/>
            </w:r>
            <w:r>
              <w:rPr>
                <w:rFonts w:ascii="Aptos" w:hAnsi="Aptos"/>
                <w:b w:val="0"/>
                <w:i w:val="0"/>
                <w:color w:val="1F2933"/>
                <w:sz w:val="20"/>
              </w:rPr>
              <w:t>Two questions remain open: who approves exceptions, and whether the 24-hour limit is calculated per customer or per account. I will keep both marked as unresolved until we have confirmation.</w:t>
            </w:r>
          </w:p>
        </w:tc>
      </w:tr>
    </w:tbl>
    <w:p>
      <w:pPr>
        <w:pStyle w:val="Heading1"/>
      </w:pPr>
      <w:r>
        <w:t>Participant analysis notes</w:t>
      </w:r>
    </w:p>
    <w:p>
      <w:pPr>
        <w:pStyle w:val="ListNumber"/>
      </w:pPr>
      <w:r>
        <w:t>What appears consistently at the beginning of a message?</w:t>
      </w:r>
    </w:p>
    <w:p>
      <w:pPr>
        <w:pStyle w:val="ListNumber"/>
      </w:pPr>
      <w:r>
        <w:t>How are facts separated from recommendations or unresolved questions?</w:t>
      </w:r>
    </w:p>
    <w:p>
      <w:pPr>
        <w:pStyle w:val="ListNumber"/>
      </w:pPr>
      <w:r>
        <w:t>How are problems explained without sounding defensive?</w:t>
      </w:r>
    </w:p>
    <w:p>
      <w:pPr>
        <w:pStyle w:val="ListNumber"/>
      </w:pPr>
      <w:r>
        <w:t>When are bullets useful, and when does Hanna prefer short paragraphs?</w:t>
      </w:r>
    </w:p>
    <w:p>
      <w:pPr>
        <w:pStyle w:val="ListNumber"/>
      </w:pPr>
      <w:r>
        <w:t>Which phrases should not become reusable tone rules?</w:t>
      </w:r>
    </w:p>
    <w:sectPr w:rsidR="00FC693F" w:rsidRPr="0006063C" w:rsidSect="00034616">
      <w:headerReference w:type="default" r:id="rId9"/>
      <w:footerReference w:type="default" r:id="rId10"/>
      <w:pgSz w:w="12240" w:h="15840"/>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27D98"/>
        <w:sz w:val="16"/>
      </w:rPr>
      <w:t>DATech  |  Participant workshop material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8208"/>
      <w:gridCol w:w="1613"/>
    </w:tblGrid>
    <w:tr>
      <w:tc>
        <w:tcPr>
          <w:tcW w:type="dxa" w:w="4910"/>
          <w:vAlign w:val="center"/>
          <w:tcMar>
            <w:top w:w="0" w:type="dxa"/>
            <w:start w:w="0" w:type="dxa"/>
            <w:bottom w:w="0" w:type="dxa"/>
            <w:end w:w="0" w:type="dxa"/>
          </w:tcMar>
        </w:tcPr>
        <w:p>
          <w:pPr>
            <w:jc w:val="left"/>
          </w:pPr>
          <w:r>
            <w:rPr>
              <w:rFonts w:ascii="Aptos" w:hAnsi="Aptos"/>
              <w:b/>
              <w:i w:val="0"/>
              <w:color w:val="627D98"/>
              <w:sz w:val="17"/>
            </w:rPr>
            <w:t>Microsoft Copilot Labs  |  Lab 4 sample pack</w:t>
          </w:r>
        </w:p>
      </w:tc>
      <w:tc>
        <w:tcPr>
          <w:tcW w:type="dxa" w:w="4910"/>
          <w:vAlign w:val="center"/>
          <w:tcMar>
            <w:top w:w="0" w:type="dxa"/>
            <w:start w:w="0" w:type="dxa"/>
            <w:bottom w:w="0" w:type="dxa"/>
            <w:end w:w="0" w:type="dxa"/>
          </w:tcMar>
        </w:tcPr>
        <w:p>
          <w:pPr>
            <w:jc w:val="right"/>
          </w:pPr>
          <w:r>
            <w:drawing>
              <wp:inline xmlns:a="http://schemas.openxmlformats.org/drawingml/2006/main" xmlns:pic="http://schemas.openxmlformats.org/drawingml/2006/picture">
                <wp:extent cx="713232" cy="364909"/>
                <wp:docPr id="1" name="Picture 1"/>
                <wp:cNvGraphicFramePr>
                  <a:graphicFrameLocks noChangeAspect="1"/>
                </wp:cNvGraphicFramePr>
                <a:graphic>
                  <a:graphicData uri="http://schemas.openxmlformats.org/drawingml/2006/picture">
                    <pic:pic>
                      <pic:nvPicPr>
                        <pic:cNvPr id="0" name="DATech logo copy.jpg"/>
                        <pic:cNvPicPr/>
                      </pic:nvPicPr>
                      <pic:blipFill>
                        <a:blip r:embed="rId1"/>
                        <a:stretch>
                          <a:fillRect/>
                        </a:stretch>
                      </pic:blipFill>
                      <pic:spPr>
                        <a:xfrm>
                          <a:off x="0" y="0"/>
                          <a:ext cx="713232" cy="364909"/>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865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18"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18"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