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E87722"/>
          <w:sz w:val="20"/>
        </w:rPr>
        <w:t>COUNTRY POLICY ADDENDUM</w:t>
      </w:r>
    </w:p>
    <w:p>
      <w:pPr>
        <w:spacing w:after="100"/>
      </w:pPr>
      <w:r>
        <w:rPr>
          <w:rFonts w:ascii="Calibri" w:hAnsi="Calibri"/>
          <w:b/>
          <w:color w:val="51247A"/>
          <w:sz w:val="48"/>
        </w:rPr>
        <w:t>Denmark Hybrid Working Addendum</w:t>
      </w:r>
    </w:p>
    <w:p>
      <w:pPr>
        <w:spacing w:after="280"/>
      </w:pPr>
      <w:r>
        <w:rPr>
          <w:rFonts w:ascii="Calibri" w:hAnsi="Calibri"/>
          <w:color w:val="5A6069"/>
          <w:sz w:val="23"/>
        </w:rPr>
        <w:t>Country-specific controls that supplement HR-POL-014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51247A"/>
              </w:rPr>
              <w:t>Addendum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HR-ADD-DK-006</w:t>
            </w:r>
          </w:p>
        </w:tc>
      </w:tr>
      <w:tr>
        <w:tc>
          <w:tcPr>
            <w:tcW w:type="dxa" w:w="2700"/>
            <w:shd w:fill="F4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51247A"/>
              </w:rPr>
              <w:t>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1.1</w:t>
            </w:r>
          </w:p>
        </w:tc>
      </w:tr>
      <w:tr>
        <w:tc>
          <w:tcPr>
            <w:tcW w:type="dxa" w:w="2700"/>
            <w:shd w:fill="F4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51247A"/>
              </w:rPr>
              <w:t>Owner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Denmark People Operations</w:t>
            </w:r>
          </w:p>
        </w:tc>
      </w:tr>
      <w:tr>
        <w:tc>
          <w:tcPr>
            <w:tcW w:type="dxa" w:w="2700"/>
            <w:shd w:fill="F4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51247A"/>
              </w:rPr>
              <w:t>Approver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Denmark Country Manager</w:t>
            </w:r>
          </w:p>
        </w:tc>
      </w:tr>
      <w:tr>
        <w:tc>
          <w:tcPr>
            <w:tcW w:type="dxa" w:w="2700"/>
            <w:shd w:fill="F4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51247A"/>
              </w:rPr>
              <w:t>Effective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June 2026</w:t>
            </w:r>
          </w:p>
        </w:tc>
      </w:tr>
      <w:tr>
        <w:tc>
          <w:tcPr>
            <w:tcW w:type="dxa" w:w="2700"/>
            <w:shd w:fill="F4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51247A"/>
              </w:rPr>
              <w:t>Review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 June 2027</w:t>
            </w:r>
          </w:p>
        </w:tc>
      </w:tr>
      <w:tr>
        <w:tc>
          <w:tcPr>
            <w:tcW w:type="dxa" w:w="2700"/>
            <w:shd w:fill="F4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51247A"/>
              </w:rPr>
              <w:t>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Approved</w:t>
            </w:r>
          </w:p>
        </w:tc>
      </w:tr>
      <w:tr>
        <w:tc>
          <w:tcPr>
            <w:tcW w:type="dxa" w:w="2700"/>
            <w:shd w:fill="F4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51247A"/>
              </w:rPr>
              <w:t>Authoritative system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SharePoint Policy Centre</w:t>
            </w:r>
          </w:p>
        </w:tc>
      </w:tr>
      <w:tr>
        <w:tc>
          <w:tcPr>
            <w:tcW w:type="dxa" w:w="2700"/>
            <w:shd w:fill="F4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51247A"/>
              </w:rPr>
              <w:t>Applies 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Employees with a Denmark employment contract</w:t>
            </w:r>
          </w:p>
        </w:tc>
      </w:tr>
    </w:tbl>
    <w:p/>
    <w:p>
      <w:pPr>
        <w:pStyle w:val="Heading1"/>
      </w:pPr>
      <w:r>
        <w:t>1. Relationship to the corporate policy</w:t>
      </w:r>
    </w:p>
    <w:p>
      <w:r>
        <w:t>This addendum supplements Hybrid Working Policy HR-POL-014. It does not replace the corporate limit or approval route. If a topic is not addressed here, HR-POL-014 applies.</w:t>
      </w:r>
    </w:p>
    <w:p>
      <w:pPr>
        <w:pStyle w:val="Heading1"/>
      </w:pPr>
      <w:r>
        <w:t>2. Additional requirement for more than three remote days</w:t>
      </w:r>
    </w:p>
    <w:p>
      <w:r>
        <w:t>A Denmark employee requesting more than three regular remote days per week must complete the corporate Flexible Working Exception request and a home-workplace safety assessment. Approval is required from the line manager, Denmark People Operations and the HR Business Partner before the arrangement starts.</w:t>
      </w:r>
    </w:p>
    <w:p>
      <w:pPr>
        <w:pStyle w:val="Heading1"/>
      </w:pPr>
      <w:r>
        <w:t>3. Equipment and expenses</w:t>
      </w:r>
    </w:p>
    <w:p>
      <w:pPr>
        <w:pStyle w:val="ListBullet"/>
        <w:spacing w:after="80"/>
      </w:pPr>
      <w:r>
        <w:t>Use the ServiceNow Home Office Equipment catalogue item for standard equipment.</w:t>
      </w:r>
    </w:p>
    <w:p>
      <w:pPr>
        <w:pStyle w:val="ListBullet"/>
        <w:spacing w:after="80"/>
      </w:pPr>
      <w:r>
        <w:t>Do not purchase nonstandard equipment and assume reimbursement. Obtain written approval through the catalogue workflow first.</w:t>
      </w:r>
    </w:p>
    <w:p>
      <w:pPr>
        <w:pStyle w:val="ListBullet"/>
        <w:spacing w:after="80"/>
      </w:pPr>
      <w:r>
        <w:t>The current local allowance is not stated in this addendum. Ask Denmark People Operations if the amount is required.</w:t>
      </w:r>
    </w:p>
    <w:p>
      <w:pPr>
        <w:pStyle w:val="Heading1"/>
      </w:pPr>
      <w:r>
        <w:t>4. Escalation</w:t>
      </w:r>
    </w:p>
    <w:p>
      <w:r>
        <w:t>Questions about local safety or employment requirements must be referred to Denmark People Operations. A knowledge agent may explain the documented process but may not interpret local law or approve an arrangement.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069"/>
        <w:sz w:val="16"/>
      </w:rPr>
      <w:t>Internal - Training example  |  Synthetic workshop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A6069"/>
        <w:sz w:val="17"/>
      </w:rPr>
      <w:t>Country policy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5124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124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