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E87722"/>
          <w:sz w:val="20"/>
        </w:rPr>
        <w:t>CORPORATE POLICY</w:t>
      </w:r>
    </w:p>
    <w:p>
      <w:pPr>
        <w:spacing w:after="100"/>
      </w:pPr>
      <w:r>
        <w:rPr>
          <w:rFonts w:ascii="Calibri" w:hAnsi="Calibri"/>
          <w:b/>
          <w:color w:val="51247A"/>
          <w:sz w:val="48"/>
        </w:rPr>
        <w:t>Hybrid Working Policy</w:t>
      </w:r>
    </w:p>
    <w:p>
      <w:pPr>
        <w:spacing w:after="280"/>
      </w:pPr>
      <w:r>
        <w:rPr>
          <w:rFonts w:ascii="Calibri" w:hAnsi="Calibri"/>
          <w:color w:val="5A6069"/>
          <w:sz w:val="23"/>
        </w:rPr>
        <w:t>Approved enterprise policy for regular and exceptional remote-working arrangements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1F8"/>
            <w:tcMar>
              <w:top w:w="80" w:type="dxa"/>
              <w:start w:w="120" w:type="dxa"/>
              <w:bottom w:w="80" w:type="dxa"/>
              <w:end w:w="120" w:type="dxa"/>
            </w:tcMar>
            <w:vAlign w:val="center"/>
          </w:tcPr>
          <w:p>
            <w:r>
              <w:rPr>
                <w:b/>
                <w:color w:val="51247A"/>
              </w:rPr>
              <w:t>Policy ID</w:t>
            </w:r>
          </w:p>
        </w:tc>
        <w:tc>
          <w:tcPr>
            <w:tcW w:type="dxa" w:w="6660"/>
            <w:tcMar>
              <w:top w:w="80" w:type="dxa"/>
              <w:start w:w="120" w:type="dxa"/>
              <w:bottom w:w="80" w:type="dxa"/>
              <w:end w:w="120" w:type="dxa"/>
            </w:tcMar>
            <w:vAlign w:val="center"/>
          </w:tcPr>
          <w:p>
            <w:r>
              <w:t>HR-POL-014</w:t>
            </w:r>
          </w:p>
        </w:tc>
      </w:tr>
      <w:tr>
        <w:tc>
          <w:tcPr>
            <w:tcW w:type="dxa" w:w="2700"/>
            <w:shd w:fill="F4F1F8"/>
            <w:tcMar>
              <w:top w:w="80" w:type="dxa"/>
              <w:start w:w="120" w:type="dxa"/>
              <w:bottom w:w="80" w:type="dxa"/>
              <w:end w:w="120" w:type="dxa"/>
            </w:tcMar>
            <w:vAlign w:val="center"/>
          </w:tcPr>
          <w:p>
            <w:r>
              <w:rPr>
                <w:b/>
                <w:color w:val="51247A"/>
              </w:rPr>
              <w:t>Version</w:t>
            </w:r>
          </w:p>
        </w:tc>
        <w:tc>
          <w:tcPr>
            <w:tcW w:type="dxa" w:w="6660"/>
            <w:tcMar>
              <w:top w:w="80" w:type="dxa"/>
              <w:start w:w="120" w:type="dxa"/>
              <w:bottom w:w="80" w:type="dxa"/>
              <w:end w:w="120" w:type="dxa"/>
            </w:tcMar>
            <w:vAlign w:val="center"/>
          </w:tcPr>
          <w:p>
            <w:r>
              <w:t>3.2</w:t>
            </w:r>
          </w:p>
        </w:tc>
      </w:tr>
      <w:tr>
        <w:tc>
          <w:tcPr>
            <w:tcW w:type="dxa" w:w="2700"/>
            <w:shd w:fill="F4F1F8"/>
            <w:tcMar>
              <w:top w:w="80" w:type="dxa"/>
              <w:start w:w="120" w:type="dxa"/>
              <w:bottom w:w="80" w:type="dxa"/>
              <w:end w:w="120" w:type="dxa"/>
            </w:tcMar>
            <w:vAlign w:val="center"/>
          </w:tcPr>
          <w:p>
            <w:r>
              <w:rPr>
                <w:b/>
                <w:color w:val="51247A"/>
              </w:rPr>
              <w:t>Owner</w:t>
            </w:r>
          </w:p>
        </w:tc>
        <w:tc>
          <w:tcPr>
            <w:tcW w:type="dxa" w:w="6660"/>
            <w:tcMar>
              <w:top w:w="80" w:type="dxa"/>
              <w:start w:w="120" w:type="dxa"/>
              <w:bottom w:w="80" w:type="dxa"/>
              <w:end w:w="120" w:type="dxa"/>
            </w:tcMar>
            <w:vAlign w:val="center"/>
          </w:tcPr>
          <w:p>
            <w:r>
              <w:t>People Operations</w:t>
            </w:r>
          </w:p>
        </w:tc>
      </w:tr>
      <w:tr>
        <w:tc>
          <w:tcPr>
            <w:tcW w:type="dxa" w:w="2700"/>
            <w:shd w:fill="F4F1F8"/>
            <w:tcMar>
              <w:top w:w="80" w:type="dxa"/>
              <w:start w:w="120" w:type="dxa"/>
              <w:bottom w:w="80" w:type="dxa"/>
              <w:end w:w="120" w:type="dxa"/>
            </w:tcMar>
            <w:vAlign w:val="center"/>
          </w:tcPr>
          <w:p>
            <w:r>
              <w:rPr>
                <w:b/>
                <w:color w:val="51247A"/>
              </w:rPr>
              <w:t>Approver</w:t>
            </w:r>
          </w:p>
        </w:tc>
        <w:tc>
          <w:tcPr>
            <w:tcW w:type="dxa" w:w="6660"/>
            <w:tcMar>
              <w:top w:w="80" w:type="dxa"/>
              <w:start w:w="120" w:type="dxa"/>
              <w:bottom w:w="80" w:type="dxa"/>
              <w:end w:w="120" w:type="dxa"/>
            </w:tcMar>
            <w:vAlign w:val="center"/>
          </w:tcPr>
          <w:p>
            <w:r>
              <w:t>Executive People Committee</w:t>
            </w:r>
          </w:p>
        </w:tc>
      </w:tr>
      <w:tr>
        <w:tc>
          <w:tcPr>
            <w:tcW w:type="dxa" w:w="2700"/>
            <w:shd w:fill="F4F1F8"/>
            <w:tcMar>
              <w:top w:w="80" w:type="dxa"/>
              <w:start w:w="120" w:type="dxa"/>
              <w:bottom w:w="80" w:type="dxa"/>
              <w:end w:w="120" w:type="dxa"/>
            </w:tcMar>
            <w:vAlign w:val="center"/>
          </w:tcPr>
          <w:p>
            <w:r>
              <w:rPr>
                <w:b/>
                <w:color w:val="51247A"/>
              </w:rPr>
              <w:t>Effective date</w:t>
            </w:r>
          </w:p>
        </w:tc>
        <w:tc>
          <w:tcPr>
            <w:tcW w:type="dxa" w:w="6660"/>
            <w:tcMar>
              <w:top w:w="80" w:type="dxa"/>
              <w:start w:w="120" w:type="dxa"/>
              <w:bottom w:w="80" w:type="dxa"/>
              <w:end w:w="120" w:type="dxa"/>
            </w:tcMar>
            <w:vAlign w:val="center"/>
          </w:tcPr>
          <w:p>
            <w:r>
              <w:t>1 May 2026</w:t>
            </w:r>
          </w:p>
        </w:tc>
      </w:tr>
      <w:tr>
        <w:tc>
          <w:tcPr>
            <w:tcW w:type="dxa" w:w="2700"/>
            <w:shd w:fill="F4F1F8"/>
            <w:tcMar>
              <w:top w:w="80" w:type="dxa"/>
              <w:start w:w="120" w:type="dxa"/>
              <w:bottom w:w="80" w:type="dxa"/>
              <w:end w:w="120" w:type="dxa"/>
            </w:tcMar>
            <w:vAlign w:val="center"/>
          </w:tcPr>
          <w:p>
            <w:r>
              <w:rPr>
                <w:b/>
                <w:color w:val="51247A"/>
              </w:rPr>
              <w:t>Review date</w:t>
            </w:r>
          </w:p>
        </w:tc>
        <w:tc>
          <w:tcPr>
            <w:tcW w:type="dxa" w:w="6660"/>
            <w:tcMar>
              <w:top w:w="80" w:type="dxa"/>
              <w:start w:w="120" w:type="dxa"/>
              <w:bottom w:w="80" w:type="dxa"/>
              <w:end w:w="120" w:type="dxa"/>
            </w:tcMar>
            <w:vAlign w:val="center"/>
          </w:tcPr>
          <w:p>
            <w:r>
              <w:t>30 April 2027</w:t>
            </w:r>
          </w:p>
        </w:tc>
      </w:tr>
      <w:tr>
        <w:tc>
          <w:tcPr>
            <w:tcW w:type="dxa" w:w="2700"/>
            <w:shd w:fill="F4F1F8"/>
            <w:tcMar>
              <w:top w:w="80" w:type="dxa"/>
              <w:start w:w="120" w:type="dxa"/>
              <w:bottom w:w="80" w:type="dxa"/>
              <w:end w:w="120" w:type="dxa"/>
            </w:tcMar>
            <w:vAlign w:val="center"/>
          </w:tcPr>
          <w:p>
            <w:r>
              <w:rPr>
                <w:b/>
                <w:color w:val="51247A"/>
              </w:rPr>
              <w:t>Status</w:t>
            </w:r>
          </w:p>
        </w:tc>
        <w:tc>
          <w:tcPr>
            <w:tcW w:type="dxa" w:w="6660"/>
            <w:tcMar>
              <w:top w:w="80" w:type="dxa"/>
              <w:start w:w="120" w:type="dxa"/>
              <w:bottom w:w="80" w:type="dxa"/>
              <w:end w:w="120" w:type="dxa"/>
            </w:tcMar>
            <w:vAlign w:val="center"/>
          </w:tcPr>
          <w:p>
            <w:r>
              <w:t>Approved</w:t>
            </w:r>
          </w:p>
        </w:tc>
      </w:tr>
      <w:tr>
        <w:tc>
          <w:tcPr>
            <w:tcW w:type="dxa" w:w="2700"/>
            <w:shd w:fill="F4F1F8"/>
            <w:tcMar>
              <w:top w:w="80" w:type="dxa"/>
              <w:start w:w="120" w:type="dxa"/>
              <w:bottom w:w="80" w:type="dxa"/>
              <w:end w:w="120" w:type="dxa"/>
            </w:tcMar>
            <w:vAlign w:val="center"/>
          </w:tcPr>
          <w:p>
            <w:r>
              <w:rPr>
                <w:b/>
                <w:color w:val="51247A"/>
              </w:rPr>
              <w:t>Authoritative system</w:t>
            </w:r>
          </w:p>
        </w:tc>
        <w:tc>
          <w:tcPr>
            <w:tcW w:type="dxa" w:w="6660"/>
            <w:tcMar>
              <w:top w:w="80" w:type="dxa"/>
              <w:start w:w="120" w:type="dxa"/>
              <w:bottom w:w="80" w:type="dxa"/>
              <w:end w:w="120" w:type="dxa"/>
            </w:tcMar>
            <w:vAlign w:val="center"/>
          </w:tcPr>
          <w:p>
            <w:r>
              <w:t>SharePoint Policy Centre</w:t>
            </w:r>
          </w:p>
        </w:tc>
      </w:tr>
      <w:tr>
        <w:tc>
          <w:tcPr>
            <w:tcW w:type="dxa" w:w="2700"/>
            <w:shd w:fill="F4F1F8"/>
            <w:tcMar>
              <w:top w:w="80" w:type="dxa"/>
              <w:start w:w="120" w:type="dxa"/>
              <w:bottom w:w="80" w:type="dxa"/>
              <w:end w:w="120" w:type="dxa"/>
            </w:tcMar>
            <w:vAlign w:val="center"/>
          </w:tcPr>
          <w:p>
            <w:r>
              <w:rPr>
                <w:b/>
                <w:color w:val="51247A"/>
              </w:rPr>
              <w:t>Audience</w:t>
            </w:r>
          </w:p>
        </w:tc>
        <w:tc>
          <w:tcPr>
            <w:tcW w:type="dxa" w:w="6660"/>
            <w:tcMar>
              <w:top w:w="80" w:type="dxa"/>
              <w:start w:w="120" w:type="dxa"/>
              <w:bottom w:w="80" w:type="dxa"/>
              <w:end w:w="120" w:type="dxa"/>
            </w:tcMar>
            <w:vAlign w:val="center"/>
          </w:tcPr>
          <w:p>
            <w:r>
              <w:t>All employees, subject to local addenda</w:t>
            </w:r>
          </w:p>
        </w:tc>
      </w:tr>
    </w:tbl>
    <w:p/>
    <w:p>
      <w:pPr>
        <w:pStyle w:val="Heading1"/>
      </w:pPr>
      <w:r>
        <w:t>1. Purpose</w:t>
      </w:r>
    </w:p>
    <w:p>
      <w:r>
        <w:t>This policy defines the corporate rules for hybrid working. It explains the standard arrangement, the approval route for exceptions and the boundary between policy decisions and operational request procedures.</w:t>
      </w:r>
    </w:p>
    <w:p>
      <w:pPr>
        <w:pStyle w:val="Heading1"/>
      </w:pPr>
      <w:r>
        <w:t>2. Standard arrangement</w:t>
      </w:r>
    </w:p>
    <w:p>
      <w:pPr>
        <w:pStyle w:val="ListBullet"/>
        <w:spacing w:after="80"/>
      </w:pPr>
      <w:r>
        <w:t>Employees may work remotely for up to three working days per week when the pattern is agreed with their line manager and remains compatible with role, team and customer needs.</w:t>
      </w:r>
    </w:p>
    <w:p>
      <w:pPr>
        <w:pStyle w:val="ListBullet"/>
        <w:spacing w:after="80"/>
      </w:pPr>
      <w:r>
        <w:t>The company office remains the primary contracted work location unless the employment contract states otherwise.</w:t>
      </w:r>
    </w:p>
    <w:p>
      <w:pPr>
        <w:pStyle w:val="ListBullet"/>
        <w:spacing w:after="80"/>
      </w:pPr>
      <w:r>
        <w:t>A manager may require office attendance for planned collaboration, customer commitments, security needs or performance support.</w:t>
      </w:r>
    </w:p>
    <w:p>
      <w:pPr>
        <w:pStyle w:val="Heading1"/>
      </w:pPr>
      <w:r>
        <w:t>3. More than three remote days</w:t>
      </w:r>
    </w:p>
    <w:p>
      <w:r>
        <w:t>A regular arrangement of more than three remote days per week is an exception. Before the arrangement begins, the employee must submit a Flexible Working Exception request. Approval is required from both the line manager and the relevant HR Business Partner.</w:t>
      </w:r>
    </w:p>
    <w:p>
      <w:pPr>
        <w:pStyle w:val="ListBullet"/>
        <w:spacing w:after="80"/>
      </w:pPr>
      <w:r>
        <w:t>Country addenda may introduce additional local checks or approvals.</w:t>
      </w:r>
    </w:p>
    <w:p>
      <w:pPr>
        <w:pStyle w:val="ListBullet"/>
        <w:spacing w:after="80"/>
      </w:pPr>
      <w:r>
        <w:t>An email or chat message from a manager does not replace the formal exception record.</w:t>
      </w:r>
    </w:p>
    <w:p>
      <w:pPr>
        <w:pStyle w:val="ListBullet"/>
        <w:spacing w:after="80"/>
      </w:pPr>
      <w:r>
        <w:t>The agent, service desk and equipment process cannot approve an exception.</w:t>
      </w:r>
    </w:p>
    <w:p>
      <w:pPr>
        <w:pStyle w:val="Heading1"/>
      </w:pPr>
      <w:r>
        <w:t>4. Equipment</w:t>
      </w:r>
    </w:p>
    <w:p>
      <w:r>
        <w:t>Approved home-office equipment is requested through the ServiceNow Home Office Equipment catalogue item. The operational article describes standard items, thresholds and fulfilment steps. Equipment approval does not grant permission for a remote-working exception.</w:t>
      </w:r>
    </w:p>
    <w:p>
      <w:pPr>
        <w:pStyle w:val="Heading1"/>
      </w:pPr>
      <w:r>
        <w:t>5. Information protection and safety</w:t>
      </w:r>
    </w:p>
    <w:p>
      <w:pPr>
        <w:pStyle w:val="ListBullet"/>
        <w:spacing w:after="80"/>
      </w:pPr>
      <w:r>
        <w:t>Employees must follow information-classification, device, secure-access and records-management requirements in every work location.</w:t>
      </w:r>
    </w:p>
    <w:p>
      <w:pPr>
        <w:pStyle w:val="ListBullet"/>
        <w:spacing w:after="80"/>
      </w:pPr>
      <w:r>
        <w:t>Employees must report safety or ergonomic concerns through the local process described in the applicable country addendum.</w:t>
      </w:r>
    </w:p>
    <w:p>
      <w:pPr>
        <w:pStyle w:val="Heading1"/>
      </w:pPr>
      <w:r>
        <w:t>6. Interpretation and escalation</w:t>
      </w:r>
    </w:p>
    <w:p>
      <w:r>
        <w:t>People Operations owns interpretation of this policy. Where sources conflict, employees and managers must rely on the current approved policy and request clarification from the content owner. Copilot must display the conflict and must not silently select or combine rules.</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9"/>
        <w:sz w:val="16"/>
      </w:rPr>
      <w:t>Internal - Training example  |  Synthetic workshop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069"/>
        <w:sz w:val="17"/>
      </w:rPr>
      <w:t>Corporate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124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124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