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E87722"/>
          <w:sz w:val="20"/>
        </w:rPr>
        <w:t>SERVICENOW KNOWLEDGE ARTICLE</w:t>
      </w:r>
    </w:p>
    <w:p>
      <w:pPr>
        <w:spacing w:after="100"/>
      </w:pPr>
      <w:r>
        <w:rPr>
          <w:rFonts w:ascii="Calibri" w:hAnsi="Calibri"/>
          <w:b/>
          <w:color w:val="51247A"/>
          <w:sz w:val="48"/>
        </w:rPr>
        <w:t>Request Home Office Equipment</w:t>
      </w:r>
    </w:p>
    <w:p>
      <w:pPr>
        <w:spacing w:after="280"/>
      </w:pPr>
      <w:r>
        <w:rPr>
          <w:rFonts w:ascii="Calibri" w:hAnsi="Calibri"/>
          <w:color w:val="5A6069"/>
          <w:sz w:val="23"/>
        </w:rPr>
        <w:t>ServiceNow knowledge article export - current operational procedure</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F4F1F8"/>
            <w:tcMar>
              <w:top w:w="80" w:type="dxa"/>
              <w:start w:w="120" w:type="dxa"/>
              <w:bottom w:w="80" w:type="dxa"/>
              <w:end w:w="120" w:type="dxa"/>
            </w:tcMar>
            <w:vAlign w:val="center"/>
          </w:tcPr>
          <w:p>
            <w:r>
              <w:rPr>
                <w:b/>
                <w:color w:val="51247A"/>
              </w:rPr>
              <w:t>Article number</w:t>
            </w:r>
          </w:p>
        </w:tc>
        <w:tc>
          <w:tcPr>
            <w:tcW w:type="dxa" w:w="6660"/>
            <w:tcMar>
              <w:top w:w="80" w:type="dxa"/>
              <w:start w:w="120" w:type="dxa"/>
              <w:bottom w:w="80" w:type="dxa"/>
              <w:end w:w="120" w:type="dxa"/>
            </w:tcMar>
            <w:vAlign w:val="center"/>
          </w:tcPr>
          <w:p>
            <w:r>
              <w:t>KB0018427</w:t>
            </w:r>
          </w:p>
        </w:tc>
      </w:tr>
      <w:tr>
        <w:tc>
          <w:tcPr>
            <w:tcW w:type="dxa" w:w="2700"/>
            <w:shd w:fill="F4F1F8"/>
            <w:tcMar>
              <w:top w:w="80" w:type="dxa"/>
              <w:start w:w="120" w:type="dxa"/>
              <w:bottom w:w="80" w:type="dxa"/>
              <w:end w:w="120" w:type="dxa"/>
            </w:tcMar>
            <w:vAlign w:val="center"/>
          </w:tcPr>
          <w:p>
            <w:r>
              <w:rPr>
                <w:b/>
                <w:color w:val="51247A"/>
              </w:rPr>
              <w:t>Version</w:t>
            </w:r>
          </w:p>
        </w:tc>
        <w:tc>
          <w:tcPr>
            <w:tcW w:type="dxa" w:w="6660"/>
            <w:tcMar>
              <w:top w:w="80" w:type="dxa"/>
              <w:start w:w="120" w:type="dxa"/>
              <w:bottom w:w="80" w:type="dxa"/>
              <w:end w:w="120" w:type="dxa"/>
            </w:tcMar>
            <w:vAlign w:val="center"/>
          </w:tcPr>
          <w:p>
            <w:r>
              <w:t>5.0</w:t>
            </w:r>
          </w:p>
        </w:tc>
      </w:tr>
      <w:tr>
        <w:tc>
          <w:tcPr>
            <w:tcW w:type="dxa" w:w="2700"/>
            <w:shd w:fill="F4F1F8"/>
            <w:tcMar>
              <w:top w:w="80" w:type="dxa"/>
              <w:start w:w="120" w:type="dxa"/>
              <w:bottom w:w="80" w:type="dxa"/>
              <w:end w:w="120" w:type="dxa"/>
            </w:tcMar>
            <w:vAlign w:val="center"/>
          </w:tcPr>
          <w:p>
            <w:r>
              <w:rPr>
                <w:b/>
                <w:color w:val="51247A"/>
              </w:rPr>
              <w:t>Knowledge base</w:t>
            </w:r>
          </w:p>
        </w:tc>
        <w:tc>
          <w:tcPr>
            <w:tcW w:type="dxa" w:w="6660"/>
            <w:tcMar>
              <w:top w:w="80" w:type="dxa"/>
              <w:start w:w="120" w:type="dxa"/>
              <w:bottom w:w="80" w:type="dxa"/>
              <w:end w:w="120" w:type="dxa"/>
            </w:tcMar>
            <w:vAlign w:val="center"/>
          </w:tcPr>
          <w:p>
            <w:r>
              <w:t>Employee Technology Services</w:t>
            </w:r>
          </w:p>
        </w:tc>
      </w:tr>
      <w:tr>
        <w:tc>
          <w:tcPr>
            <w:tcW w:type="dxa" w:w="2700"/>
            <w:shd w:fill="F4F1F8"/>
            <w:tcMar>
              <w:top w:w="80" w:type="dxa"/>
              <w:start w:w="120" w:type="dxa"/>
              <w:bottom w:w="80" w:type="dxa"/>
              <w:end w:w="120" w:type="dxa"/>
            </w:tcMar>
            <w:vAlign w:val="center"/>
          </w:tcPr>
          <w:p>
            <w:r>
              <w:rPr>
                <w:b/>
                <w:color w:val="51247A"/>
              </w:rPr>
              <w:t>Owner</w:t>
            </w:r>
          </w:p>
        </w:tc>
        <w:tc>
          <w:tcPr>
            <w:tcW w:type="dxa" w:w="6660"/>
            <w:tcMar>
              <w:top w:w="80" w:type="dxa"/>
              <w:start w:w="120" w:type="dxa"/>
              <w:bottom w:w="80" w:type="dxa"/>
              <w:end w:w="120" w:type="dxa"/>
            </w:tcMar>
            <w:vAlign w:val="center"/>
          </w:tcPr>
          <w:p>
            <w:r>
              <w:t>Workplace Technology</w:t>
            </w:r>
          </w:p>
        </w:tc>
      </w:tr>
      <w:tr>
        <w:tc>
          <w:tcPr>
            <w:tcW w:type="dxa" w:w="2700"/>
            <w:shd w:fill="F4F1F8"/>
            <w:tcMar>
              <w:top w:w="80" w:type="dxa"/>
              <w:start w:w="120" w:type="dxa"/>
              <w:bottom w:w="80" w:type="dxa"/>
              <w:end w:w="120" w:type="dxa"/>
            </w:tcMar>
            <w:vAlign w:val="center"/>
          </w:tcPr>
          <w:p>
            <w:r>
              <w:rPr>
                <w:b/>
                <w:color w:val="51247A"/>
              </w:rPr>
              <w:t>Published</w:t>
            </w:r>
          </w:p>
        </w:tc>
        <w:tc>
          <w:tcPr>
            <w:tcW w:type="dxa" w:w="6660"/>
            <w:tcMar>
              <w:top w:w="80" w:type="dxa"/>
              <w:start w:w="120" w:type="dxa"/>
              <w:bottom w:w="80" w:type="dxa"/>
              <w:end w:w="120" w:type="dxa"/>
            </w:tcMar>
            <w:vAlign w:val="center"/>
          </w:tcPr>
          <w:p>
            <w:r>
              <w:t>20 June 2026</w:t>
            </w:r>
          </w:p>
        </w:tc>
      </w:tr>
      <w:tr>
        <w:tc>
          <w:tcPr>
            <w:tcW w:type="dxa" w:w="2700"/>
            <w:shd w:fill="F4F1F8"/>
            <w:tcMar>
              <w:top w:w="80" w:type="dxa"/>
              <w:start w:w="120" w:type="dxa"/>
              <w:bottom w:w="80" w:type="dxa"/>
              <w:end w:w="120" w:type="dxa"/>
            </w:tcMar>
            <w:vAlign w:val="center"/>
          </w:tcPr>
          <w:p>
            <w:r>
              <w:rPr>
                <w:b/>
                <w:color w:val="51247A"/>
              </w:rPr>
              <w:t>Next review</w:t>
            </w:r>
          </w:p>
        </w:tc>
        <w:tc>
          <w:tcPr>
            <w:tcW w:type="dxa" w:w="6660"/>
            <w:tcMar>
              <w:top w:w="80" w:type="dxa"/>
              <w:start w:w="120" w:type="dxa"/>
              <w:bottom w:w="80" w:type="dxa"/>
              <w:end w:w="120" w:type="dxa"/>
            </w:tcMar>
            <w:vAlign w:val="center"/>
          </w:tcPr>
          <w:p>
            <w:r>
              <w:t>20 December 2026</w:t>
            </w:r>
          </w:p>
        </w:tc>
      </w:tr>
      <w:tr>
        <w:tc>
          <w:tcPr>
            <w:tcW w:type="dxa" w:w="2700"/>
            <w:shd w:fill="F4F1F8"/>
            <w:tcMar>
              <w:top w:w="80" w:type="dxa"/>
              <w:start w:w="120" w:type="dxa"/>
              <w:bottom w:w="80" w:type="dxa"/>
              <w:end w:w="120" w:type="dxa"/>
            </w:tcMar>
            <w:vAlign w:val="center"/>
          </w:tcPr>
          <w:p>
            <w:r>
              <w:rPr>
                <w:b/>
                <w:color w:val="51247A"/>
              </w:rPr>
              <w:t>Status</w:t>
            </w:r>
          </w:p>
        </w:tc>
        <w:tc>
          <w:tcPr>
            <w:tcW w:type="dxa" w:w="6660"/>
            <w:tcMar>
              <w:top w:w="80" w:type="dxa"/>
              <w:start w:w="120" w:type="dxa"/>
              <w:bottom w:w="80" w:type="dxa"/>
              <w:end w:w="120" w:type="dxa"/>
            </w:tcMar>
            <w:vAlign w:val="center"/>
          </w:tcPr>
          <w:p>
            <w:r>
              <w:t>Published</w:t>
            </w:r>
          </w:p>
        </w:tc>
      </w:tr>
      <w:tr>
        <w:tc>
          <w:tcPr>
            <w:tcW w:type="dxa" w:w="2700"/>
            <w:shd w:fill="F4F1F8"/>
            <w:tcMar>
              <w:top w:w="80" w:type="dxa"/>
              <w:start w:w="120" w:type="dxa"/>
              <w:bottom w:w="80" w:type="dxa"/>
              <w:end w:w="120" w:type="dxa"/>
            </w:tcMar>
            <w:vAlign w:val="center"/>
          </w:tcPr>
          <w:p>
            <w:r>
              <w:rPr>
                <w:b/>
                <w:color w:val="51247A"/>
              </w:rPr>
              <w:t>Authoritative for</w:t>
            </w:r>
          </w:p>
        </w:tc>
        <w:tc>
          <w:tcPr>
            <w:tcW w:type="dxa" w:w="6660"/>
            <w:tcMar>
              <w:top w:w="80" w:type="dxa"/>
              <w:start w:w="120" w:type="dxa"/>
              <w:bottom w:w="80" w:type="dxa"/>
              <w:end w:w="120" w:type="dxa"/>
            </w:tcMar>
            <w:vAlign w:val="center"/>
          </w:tcPr>
          <w:p>
            <w:r>
              <w:t>Equipment request procedure</w:t>
            </w:r>
          </w:p>
        </w:tc>
      </w:tr>
      <w:tr>
        <w:tc>
          <w:tcPr>
            <w:tcW w:type="dxa" w:w="2700"/>
            <w:shd w:fill="F4F1F8"/>
            <w:tcMar>
              <w:top w:w="80" w:type="dxa"/>
              <w:start w:w="120" w:type="dxa"/>
              <w:bottom w:w="80" w:type="dxa"/>
              <w:end w:w="120" w:type="dxa"/>
            </w:tcMar>
            <w:vAlign w:val="center"/>
          </w:tcPr>
          <w:p>
            <w:r>
              <w:rPr>
                <w:b/>
                <w:color w:val="51247A"/>
              </w:rPr>
              <w:t>Source system</w:t>
            </w:r>
          </w:p>
        </w:tc>
        <w:tc>
          <w:tcPr>
            <w:tcW w:type="dxa" w:w="6660"/>
            <w:tcMar>
              <w:top w:w="80" w:type="dxa"/>
              <w:start w:w="120" w:type="dxa"/>
              <w:bottom w:w="80" w:type="dxa"/>
              <w:end w:w="120" w:type="dxa"/>
            </w:tcMar>
            <w:vAlign w:val="center"/>
          </w:tcPr>
          <w:p>
            <w:r>
              <w:t>ServiceNow</w:t>
            </w:r>
          </w:p>
        </w:tc>
      </w:tr>
    </w:tbl>
    <w:p/>
    <w:p>
      <w:pPr>
        <w:pStyle w:val="Heading1"/>
      </w:pPr>
      <w:r>
        <w:t>Before you start</w:t>
      </w:r>
    </w:p>
    <w:p>
      <w:r>
        <w:t>Use this procedure after confirming that home working is permitted under the applicable policy. This article does not approve a hybrid-working arrangement.</w:t>
      </w:r>
    </w:p>
    <w:p>
      <w:pPr>
        <w:pStyle w:val="Heading1"/>
      </w:pPr>
      <w:r>
        <w:t>Standard kit</w:t>
      </w:r>
    </w:p>
    <w:p>
      <w:pPr>
        <w:pStyle w:val="ListBullet"/>
        <w:spacing w:after="80"/>
      </w:pPr>
      <w:r>
        <w:t>One external monitor</w:t>
      </w:r>
    </w:p>
    <w:p>
      <w:pPr>
        <w:pStyle w:val="ListBullet"/>
        <w:spacing w:after="80"/>
      </w:pPr>
      <w:r>
        <w:t>One keyboard</w:t>
      </w:r>
    </w:p>
    <w:p>
      <w:pPr>
        <w:pStyle w:val="ListBullet"/>
        <w:spacing w:after="80"/>
      </w:pPr>
      <w:r>
        <w:t>One mouse</w:t>
      </w:r>
    </w:p>
    <w:p>
      <w:pPr>
        <w:pStyle w:val="ListBullet"/>
        <w:spacing w:after="80"/>
      </w:pPr>
      <w:r>
        <w:t>Required cables or docking accessories, when compatible with the assigned device</w:t>
      </w:r>
    </w:p>
    <w:p>
      <w:pPr>
        <w:pStyle w:val="Heading1"/>
      </w:pPr>
      <w:r>
        <w:t>Request steps</w:t>
      </w:r>
    </w:p>
    <w:p>
      <w:pPr>
        <w:pStyle w:val="ListNumber"/>
        <w:spacing w:after="80"/>
      </w:pPr>
      <w:r>
        <w:t>Open ServiceNow and select Employee Services &gt; Home Office Equipment.</w:t>
      </w:r>
    </w:p>
    <w:p>
      <w:pPr>
        <w:pStyle w:val="ListNumber"/>
        <w:spacing w:after="80"/>
      </w:pPr>
      <w:r>
        <w:t>Confirm delivery country, work location and requested items.</w:t>
      </w:r>
    </w:p>
    <w:p>
      <w:pPr>
        <w:pStyle w:val="ListNumber"/>
        <w:spacing w:after="80"/>
      </w:pPr>
      <w:r>
        <w:t>Add a business reason for nonstandard items.</w:t>
      </w:r>
    </w:p>
    <w:p>
      <w:pPr>
        <w:pStyle w:val="ListNumber"/>
        <w:spacing w:after="80"/>
      </w:pPr>
      <w:r>
        <w:t>Submit the request and retain the request number.</w:t>
      </w:r>
    </w:p>
    <w:p>
      <w:pPr>
        <w:pStyle w:val="Heading1"/>
      </w:pPr>
      <w:r>
        <w:t>Approvals</w:t>
      </w:r>
    </w:p>
    <w:p>
      <w:r>
        <w:t>Manager approval is required when the total request value exceeds EUR 500 or when any item is outside the standard kit. Regional fulfilment rules may add an approval. The fulfilment team must not infer that equipment approval authorises more than three remote days.</w:t>
      </w:r>
    </w:p>
    <w:p>
      <w:pPr>
        <w:pStyle w:val="Heading1"/>
      </w:pPr>
      <w:r>
        <w:t>Support</w:t>
      </w:r>
    </w:p>
    <w:p>
      <w:r>
        <w:t>For catalogue or delivery problems, contact Workplace Technology and quote the ServiceNow request number. For permission to work remotely, use the policy process and contact People Operations.</w:t>
      </w:r>
    </w:p>
    <w:sectPr w:rsidR="00FC693F" w:rsidRPr="0006063C" w:rsidSect="00034616">
      <w:headerReference w:type="default" r:id="rId9"/>
      <w:footerReference w:type="default" r:id="rId10"/>
      <w:pgSz w:w="12240" w:h="15840"/>
      <w:pgMar w:top="1080"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069"/>
        <w:sz w:val="16"/>
      </w:rPr>
      <w:t>Internal - Training example  |  Synthetic workshop material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A6069"/>
        <w:sz w:val="17"/>
      </w:rPr>
      <w:t>ServiceNow knowledge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51247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51247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