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2B4A"/>
          <w:sz w:val="46"/>
        </w:rPr>
        <w:t>Project Nova - Risk Register Extract</w:t>
      </w:r>
    </w:p>
    <w:p>
      <w:pPr>
        <w:spacing w:after="200"/>
      </w:pPr>
      <w:r>
        <w:rPr>
          <w:rFonts w:ascii="Arial" w:hAnsi="Arial"/>
          <w:color w:val="0078D4"/>
          <w:sz w:val="22"/>
        </w:rPr>
        <w:t>Approved risks relevant to the weekly decision page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088"/>
        <w:gridCol w:w="7488"/>
      </w:tblGrid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Document 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PN-RR-008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Version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8.0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Approved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Approved by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Elena Rossi, Programme Director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Approved date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2026-08-27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864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672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1008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440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296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Due</w:t>
            </w:r>
          </w:p>
        </w:tc>
        <w:tc>
          <w:tcPr>
            <w:tcW w:type="dxa" w:w="2376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Current response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R-014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Security validation remains incomplete. Starting UAT before sign-off may expose privileged access paths.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Priya Nair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2026-09-09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Complete four remaining checks and record approval or rejection.</w:t>
            </w:r>
          </w:p>
        </w:tc>
      </w:tr>
      <w:tr>
        <w:tc>
          <w:tcPr>
            <w:tcW w:type="dxa" w:w="86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R-019</w:t>
            </w:r>
          </w:p>
        </w:tc>
        <w:tc>
          <w:tcPr>
            <w:tcW w:type="dxa" w:w="36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FinanceHub API timeout may cause incomplete access-request processing.</w:t>
            </w:r>
          </w:p>
        </w:tc>
        <w:tc>
          <w:tcPr>
            <w:tcW w:type="dxa" w:w="100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Medium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Tomas Weber</w:t>
            </w:r>
          </w:p>
        </w:tc>
        <w:tc>
          <w:tcPr>
            <w:tcW w:type="dxa" w:w="129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2026-09-07</w:t>
            </w:r>
          </w:p>
        </w:tc>
        <w:tc>
          <w:tcPr>
            <w:tcW w:type="dxa" w:w="237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Test the workaround under expected peak volume and attach evidence.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R-022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UAT communications may announce a date before entry conditions are confirmed.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Sarah Kim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2026-09-10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Prepare a conditional communication; release only after Programme Director approval.</w:t>
            </w:r>
          </w:p>
        </w:tc>
      </w:tr>
    </w:tbl>
    <w:p>
      <w:pPr>
        <w:pStyle w:val="Heading1"/>
      </w:pPr>
      <w:r>
        <w:t>Authority note</w:t>
      </w:r>
    </w:p>
    <w:p>
      <w:r>
        <w:t>The register identifies approved risks and owners. It does not itself approve UAT, change the participant scope, or authorize external communication.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Synthetic workshop material - no customer, employee or production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42B4A"/>
        <w:sz w:val="16"/>
      </w:rPr>
      <w:t>Microsoft Copilot Labs  |  Project 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42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