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sz w:val="34"/>
          <w:szCs w:val="34"/>
          <w:rtl w:val="0"/>
        </w:rPr>
        <w:t xml:space="preserve">La ayuda en T me la dan</w:t>
      </w:r>
    </w:p>
    <w:p w:rsidR="00000000" w:rsidDel="00000000" w:rsidP="00000000" w:rsidRDefault="00000000" w:rsidRPr="00000000" w14:paraId="00000003">
      <w:pPr>
        <w:rPr>
          <w:sz w:val="34"/>
          <w:szCs w:val="34"/>
        </w:rPr>
      </w:pPr>
      <w:r w:rsidDel="00000000" w:rsidR="00000000" w:rsidRPr="00000000">
        <w:rPr>
          <w:sz w:val="34"/>
          <w:szCs w:val="34"/>
          <w:rtl w:val="0"/>
        </w:rPr>
        <w:t xml:space="preserve">Pa cubrir un 70% de la demanda de un target del 30%</w:t>
      </w:r>
    </w:p>
    <w:p w:rsidR="00000000" w:rsidDel="00000000" w:rsidP="00000000" w:rsidRDefault="00000000" w:rsidRPr="00000000" w14:paraId="00000004">
      <w:pPr>
        <w:rPr>
          <w:sz w:val="34"/>
          <w:szCs w:val="34"/>
        </w:rPr>
      </w:pPr>
      <w:r w:rsidDel="00000000" w:rsidR="00000000" w:rsidRPr="00000000">
        <w:rPr>
          <w:sz w:val="34"/>
          <w:szCs w:val="34"/>
          <w:rtl w:val="0"/>
        </w:rPr>
        <w:t xml:space="preserve">Decir q es xq hago una misión conkreta</w:t>
      </w:r>
    </w:p>
    <w:p w:rsidR="00000000" w:rsidDel="00000000" w:rsidP="00000000" w:rsidRDefault="00000000" w:rsidRPr="00000000" w14:paraId="00000005">
      <w:pPr>
        <w:rPr>
          <w:sz w:val="34"/>
          <w:szCs w:val="34"/>
        </w:rPr>
      </w:pPr>
      <w:r w:rsidDel="00000000" w:rsidR="00000000" w:rsidRPr="00000000">
        <w:rPr>
          <w:sz w:val="34"/>
          <w:szCs w:val="34"/>
          <w:rtl w:val="0"/>
        </w:rPr>
        <w:t xml:space="preserve">Tras lo q tengo escrito como intro digo: mi misión tal</w:t>
      </w:r>
    </w:p>
    <w:p w:rsidR="00000000" w:rsidDel="00000000" w:rsidP="00000000" w:rsidRDefault="00000000" w:rsidRPr="00000000" w14:paraId="00000006">
      <w:pPr>
        <w:rPr>
          <w:sz w:val="34"/>
          <w:szCs w:val="34"/>
        </w:rPr>
      </w:pPr>
      <w:r w:rsidDel="00000000" w:rsidR="00000000" w:rsidRPr="00000000">
        <w:rPr>
          <w:sz w:val="34"/>
          <w:szCs w:val="34"/>
          <w:rtl w:val="0"/>
        </w:rPr>
        <w:t xml:space="preserve">Citar todo lo de los vehicles y eso</w:t>
      </w:r>
    </w:p>
    <w:p w:rsidR="00000000" w:rsidDel="00000000" w:rsidP="00000000" w:rsidRDefault="00000000" w:rsidRPr="00000000" w14:paraId="00000007">
      <w:pPr>
        <w:rPr>
          <w:sz w:val="34"/>
          <w:szCs w:val="34"/>
        </w:rPr>
      </w:pPr>
      <w:r w:rsidDel="00000000" w:rsidR="00000000" w:rsidRPr="00000000">
        <w:rPr>
          <w:sz w:val="34"/>
          <w:szCs w:val="34"/>
          <w:rtl w:val="0"/>
        </w:rPr>
        <w:t xml:space="preserve">Ver con 12 y 36</w:t>
      </w:r>
    </w:p>
    <w:p w:rsidR="00000000" w:rsidDel="00000000" w:rsidP="00000000" w:rsidRDefault="00000000" w:rsidRPr="00000000" w14:paraId="00000008">
      <w:pPr>
        <w:rPr>
          <w:sz w:val="34"/>
          <w:szCs w:val="34"/>
        </w:rPr>
      </w:pPr>
      <w:r w:rsidDel="00000000" w:rsidR="00000000" w:rsidRPr="00000000">
        <w:rPr>
          <w:sz w:val="34"/>
          <w:szCs w:val="34"/>
          <w:rtl w:val="0"/>
        </w:rPr>
        <w:t xml:space="preserve">hablar d e los 2 presupuesto sidnsintos</w:t>
      </w:r>
    </w:p>
    <w:p w:rsidR="00000000" w:rsidDel="00000000" w:rsidP="00000000" w:rsidRDefault="00000000" w:rsidRPr="00000000" w14:paraId="00000009">
      <w:pPr>
        <w:rPr>
          <w:sz w:val="34"/>
          <w:szCs w:val="34"/>
        </w:rPr>
      </w:pPr>
      <w:r w:rsidDel="00000000" w:rsidR="00000000" w:rsidRPr="00000000">
        <w:rPr>
          <w:sz w:val="34"/>
          <w:szCs w:val="34"/>
          <w:rtl w:val="0"/>
        </w:rPr>
        <w:t xml:space="preserve">mucho ojito al limite de behiculos</w:t>
      </w:r>
    </w:p>
    <w:p w:rsidR="00000000" w:rsidDel="00000000" w:rsidP="00000000" w:rsidRDefault="00000000" w:rsidRPr="00000000" w14:paraId="0000000A">
      <w:pPr>
        <w:rPr>
          <w:sz w:val="34"/>
          <w:szCs w:val="34"/>
        </w:rPr>
      </w:pPr>
      <w:r w:rsidDel="00000000" w:rsidR="00000000" w:rsidRPr="00000000">
        <w:rPr>
          <w:sz w:val="34"/>
          <w:szCs w:val="34"/>
          <w:rtl w:val="0"/>
        </w:rPr>
        <w:t xml:space="preserve">segur y fiab aleatorias y costes rehab han salido de los km</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sz w:val="26"/>
          <w:szCs w:val="26"/>
        </w:rPr>
      </w:pPr>
      <w:hyperlink r:id="rId6">
        <w:r w:rsidDel="00000000" w:rsidR="00000000" w:rsidRPr="00000000">
          <w:rPr>
            <w:color w:val="1155cc"/>
            <w:sz w:val="26"/>
            <w:szCs w:val="26"/>
            <w:u w:val="single"/>
            <w:rtl w:val="0"/>
          </w:rPr>
          <w:t xml:space="preserve">https://www.interempresas.net/ObrasPublicas/Articulos/221377-Quien-paga-la-conservacion-en-las-autopistas-sin-barrera.html</w:t>
        </w:r>
      </w:hyperlink>
      <w:r w:rsidDel="00000000" w:rsidR="00000000" w:rsidRPr="00000000">
        <w:rPr>
          <w:sz w:val="26"/>
          <w:szCs w:val="26"/>
          <w:rtl w:val="0"/>
        </w:rPr>
        <w:t xml:space="preserve"> </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RESUMEN DE LOS DATOS OBTENIDOS SOBRE EL CASO DE ESTUDIO</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Antonio Sevilla, 25/06/23</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Los siguientes datos han sido obtenidos de las bases de datos de OCHA y </w:t>
      </w:r>
      <w:hyperlink r:id="rId7">
        <w:r w:rsidDel="00000000" w:rsidR="00000000" w:rsidRPr="00000000">
          <w:rPr>
            <w:color w:val="1155cc"/>
            <w:sz w:val="20"/>
            <w:szCs w:val="20"/>
            <w:u w:val="single"/>
            <w:rtl w:val="0"/>
          </w:rPr>
          <w:t xml:space="preserve">worldpopulationreview</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La población del Banco Oeste de Cisjordania es de en torno a 3,2 millones de personas, de las cuales unas 750.000 se encuentran en situación de necesidad humanitaria. Esto supone que un 23% de la población necesita de ayuda humanitaria de algún tipo. Su ritmo de crecimiento es del 2,75% anual. Este dato ha sido usado para estimar las poblaciones de determinadas ciudades a partir de datos no actualizados.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Aunque representan el 60% de la población del Estado de Palestina (unos 5,3 millones de ciudadanos censados) suponen solamente un 36% de la PIN.</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El presupuesto recibido al Estado de Palestina durante los últimos años es de en torno a 550 millones de dólares. La parte proporcional destinada al Banco Oeste, basándonos en el dato de PIN serían unos 200 millones de dólares. Si se divide en meses, se tiene un presupuesto mensual de casi 17M$.</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A continuación se presentan los datos de PIN de2022 en función de la región y severidad. Las Áreas A y B se encuentran bajo jurisdicción Palestina. El Área C está bajo jurisdicción Israelita y resulta difícilmente accesible. Por eso es posible que no se tengan en consideración a la hora del reparto.</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tbl>
      <w:tblPr>
        <w:tblStyle w:val="Table1"/>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365"/>
        <w:gridCol w:w="1410"/>
        <w:gridCol w:w="1725"/>
        <w:tblGridChange w:id="0">
          <w:tblGrid>
            <w:gridCol w:w="1170"/>
            <w:gridCol w:w="1170"/>
            <w:gridCol w:w="1365"/>
            <w:gridCol w:w="1410"/>
            <w:gridCol w:w="1725"/>
          </w:tblGrid>
        </w:tblGridChange>
      </w:tblGrid>
      <w:tr>
        <w:trPr>
          <w:cantSplit w:val="0"/>
          <w:trHeight w:val="300" w:hRule="atLeast"/>
          <w:tblHeader w:val="0"/>
        </w:trPr>
        <w:tc>
          <w:tcPr>
            <w:tcBorders>
              <w:top w:color="000000" w:space="0" w:sz="12"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1E">
            <w:pPr>
              <w:widowControl w:val="0"/>
              <w:jc w:val="both"/>
              <w:rPr>
                <w:sz w:val="20"/>
                <w:szCs w:val="20"/>
              </w:rPr>
            </w:pPr>
            <w:r w:rsidDel="00000000" w:rsidR="00000000" w:rsidRPr="00000000">
              <w:rPr>
                <w:b w:val="1"/>
                <w:sz w:val="20"/>
                <w:szCs w:val="20"/>
                <w:rtl w:val="0"/>
              </w:rPr>
              <w:t xml:space="preserve">Area</w:t>
            </w:r>
            <w:r w:rsidDel="00000000" w:rsidR="00000000" w:rsidRPr="00000000">
              <w:rPr>
                <w:rtl w:val="0"/>
              </w:rPr>
            </w:r>
          </w:p>
        </w:tc>
        <w:tc>
          <w:tcPr>
            <w:tcBorders>
              <w:top w:color="000000" w:space="0" w:sz="12" w:val="single"/>
              <w:left w:color="cccccc" w:space="0" w:sz="4" w:val="single"/>
              <w:bottom w:color="000000" w:space="0" w:sz="12"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1F">
            <w:pPr>
              <w:widowControl w:val="0"/>
              <w:jc w:val="both"/>
              <w:rPr>
                <w:sz w:val="20"/>
                <w:szCs w:val="20"/>
              </w:rPr>
            </w:pPr>
            <w:r w:rsidDel="00000000" w:rsidR="00000000" w:rsidRPr="00000000">
              <w:rPr>
                <w:b w:val="1"/>
                <w:sz w:val="20"/>
                <w:szCs w:val="20"/>
                <w:rtl w:val="0"/>
              </w:rPr>
              <w:t xml:space="preserve">PIN</w:t>
            </w:r>
            <w:r w:rsidDel="00000000" w:rsidR="00000000" w:rsidRPr="00000000">
              <w:rPr>
                <w:rtl w:val="0"/>
              </w:rPr>
            </w:r>
          </w:p>
        </w:tc>
        <w:tc>
          <w:tcPr>
            <w:tcBorders>
              <w:top w:color="000000" w:space="0" w:sz="12" w:val="single"/>
              <w:left w:color="cccccc" w:space="0" w:sz="4" w:val="single"/>
              <w:bottom w:color="000000" w:space="0" w:sz="12"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0">
            <w:pPr>
              <w:widowControl w:val="0"/>
              <w:jc w:val="both"/>
              <w:rPr>
                <w:sz w:val="20"/>
                <w:szCs w:val="20"/>
              </w:rPr>
            </w:pPr>
            <w:r w:rsidDel="00000000" w:rsidR="00000000" w:rsidRPr="00000000">
              <w:rPr>
                <w:b w:val="1"/>
                <w:sz w:val="20"/>
                <w:szCs w:val="20"/>
                <w:rtl w:val="0"/>
              </w:rPr>
              <w:t xml:space="preserve">Población</w:t>
            </w:r>
            <w:r w:rsidDel="00000000" w:rsidR="00000000" w:rsidRPr="00000000">
              <w:rPr>
                <w:rtl w:val="0"/>
              </w:rPr>
            </w:r>
          </w:p>
        </w:tc>
        <w:tc>
          <w:tcPr>
            <w:tcBorders>
              <w:top w:color="000000" w:space="0" w:sz="12"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1">
            <w:pPr>
              <w:widowControl w:val="0"/>
              <w:jc w:val="both"/>
              <w:rPr>
                <w:sz w:val="20"/>
                <w:szCs w:val="20"/>
              </w:rPr>
            </w:pPr>
            <w:r w:rsidDel="00000000" w:rsidR="00000000" w:rsidRPr="00000000">
              <w:rPr>
                <w:b w:val="1"/>
                <w:sz w:val="20"/>
                <w:szCs w:val="20"/>
                <w:rtl w:val="0"/>
              </w:rPr>
              <w:t xml:space="preserve">PIN Severe</w:t>
            </w:r>
            <w:r w:rsidDel="00000000" w:rsidR="00000000" w:rsidRPr="00000000">
              <w:rPr>
                <w:rtl w:val="0"/>
              </w:rPr>
            </w:r>
          </w:p>
        </w:tc>
        <w:tc>
          <w:tcPr>
            <w:tcBorders>
              <w:top w:color="000000" w:space="0" w:sz="12"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2">
            <w:pPr>
              <w:widowControl w:val="0"/>
              <w:jc w:val="both"/>
              <w:rPr>
                <w:sz w:val="20"/>
                <w:szCs w:val="20"/>
              </w:rPr>
            </w:pPr>
            <w:r w:rsidDel="00000000" w:rsidR="00000000" w:rsidRPr="00000000">
              <w:rPr>
                <w:b w:val="1"/>
                <w:sz w:val="20"/>
                <w:szCs w:val="20"/>
                <w:rtl w:val="0"/>
              </w:rPr>
              <w:t xml:space="preserve">PIN Extreme</w:t>
            </w:r>
            <w:r w:rsidDel="00000000" w:rsidR="00000000" w:rsidRPr="00000000">
              <w:rPr>
                <w:rtl w:val="0"/>
              </w:rPr>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both"/>
              <w:rPr>
                <w:sz w:val="20"/>
                <w:szCs w:val="20"/>
              </w:rPr>
            </w:pPr>
            <w:r w:rsidDel="00000000" w:rsidR="00000000" w:rsidRPr="00000000">
              <w:rPr>
                <w:sz w:val="20"/>
                <w:szCs w:val="20"/>
                <w:rtl w:val="0"/>
              </w:rPr>
              <w:t xml:space="preserve">Area A&amp;B</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24">
            <w:pPr>
              <w:widowControl w:val="0"/>
              <w:jc w:val="both"/>
              <w:rPr>
                <w:sz w:val="20"/>
                <w:szCs w:val="20"/>
              </w:rPr>
            </w:pPr>
            <w:r w:rsidDel="00000000" w:rsidR="00000000" w:rsidRPr="00000000">
              <w:rPr>
                <w:sz w:val="20"/>
                <w:szCs w:val="20"/>
                <w:rtl w:val="0"/>
              </w:rPr>
              <w:t xml:space="preserve">614.825</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5">
            <w:pPr>
              <w:widowControl w:val="0"/>
              <w:jc w:val="both"/>
              <w:rPr>
                <w:sz w:val="20"/>
                <w:szCs w:val="20"/>
              </w:rPr>
            </w:pPr>
            <w:r w:rsidDel="00000000" w:rsidR="00000000" w:rsidRPr="00000000">
              <w:rPr>
                <w:sz w:val="20"/>
                <w:szCs w:val="20"/>
                <w:rtl w:val="0"/>
              </w:rPr>
              <w:t xml:space="preserve">2.390.043</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jc w:val="both"/>
              <w:rPr>
                <w:sz w:val="20"/>
                <w:szCs w:val="20"/>
              </w:rPr>
            </w:pPr>
            <w:r w:rsidDel="00000000" w:rsidR="00000000" w:rsidRPr="00000000">
              <w:rPr>
                <w:sz w:val="20"/>
                <w:szCs w:val="20"/>
                <w:rtl w:val="0"/>
              </w:rPr>
              <w:t xml:space="preserve">580.780,40</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7">
            <w:pPr>
              <w:widowControl w:val="0"/>
              <w:jc w:val="both"/>
              <w:rPr>
                <w:sz w:val="20"/>
                <w:szCs w:val="20"/>
              </w:rPr>
            </w:pPr>
            <w:r w:rsidDel="00000000" w:rsidR="00000000" w:rsidRPr="00000000">
              <w:rPr>
                <w:sz w:val="20"/>
                <w:szCs w:val="20"/>
                <w:rtl w:val="0"/>
              </w:rPr>
              <w:t xml:space="preserve">35.851</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8">
            <w:pPr>
              <w:widowControl w:val="0"/>
              <w:jc w:val="both"/>
              <w:rPr>
                <w:sz w:val="20"/>
                <w:szCs w:val="20"/>
              </w:rPr>
            </w:pPr>
            <w:r w:rsidDel="00000000" w:rsidR="00000000" w:rsidRPr="00000000">
              <w:rPr>
                <w:sz w:val="20"/>
                <w:szCs w:val="20"/>
                <w:rtl w:val="0"/>
              </w:rPr>
              <w:t xml:space="preserve">Area C</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29">
            <w:pPr>
              <w:widowControl w:val="0"/>
              <w:jc w:val="both"/>
              <w:rPr>
                <w:sz w:val="20"/>
                <w:szCs w:val="20"/>
              </w:rPr>
            </w:pPr>
            <w:r w:rsidDel="00000000" w:rsidR="00000000" w:rsidRPr="00000000">
              <w:rPr>
                <w:sz w:val="20"/>
                <w:szCs w:val="20"/>
                <w:rtl w:val="0"/>
              </w:rPr>
              <w:t xml:space="preserve">111.482</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A">
            <w:pPr>
              <w:widowControl w:val="0"/>
              <w:jc w:val="both"/>
              <w:rPr>
                <w:sz w:val="20"/>
                <w:szCs w:val="20"/>
              </w:rPr>
            </w:pPr>
            <w:r w:rsidDel="00000000" w:rsidR="00000000" w:rsidRPr="00000000">
              <w:rPr>
                <w:sz w:val="20"/>
                <w:szCs w:val="20"/>
                <w:rtl w:val="0"/>
              </w:rPr>
              <w:t xml:space="preserve">369.489</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B">
            <w:pPr>
              <w:widowControl w:val="0"/>
              <w:jc w:val="both"/>
              <w:rPr>
                <w:sz w:val="20"/>
                <w:szCs w:val="20"/>
              </w:rPr>
            </w:pPr>
            <w:r w:rsidDel="00000000" w:rsidR="00000000" w:rsidRPr="00000000">
              <w:rPr>
                <w:sz w:val="20"/>
                <w:szCs w:val="20"/>
                <w:rtl w:val="0"/>
              </w:rPr>
              <w:t xml:space="preserve">100.131,50</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jc w:val="both"/>
              <w:rPr>
                <w:sz w:val="20"/>
                <w:szCs w:val="20"/>
              </w:rPr>
            </w:pPr>
            <w:r w:rsidDel="00000000" w:rsidR="00000000" w:rsidRPr="00000000">
              <w:rPr>
                <w:sz w:val="20"/>
                <w:szCs w:val="20"/>
                <w:rtl w:val="0"/>
              </w:rPr>
              <w:t xml:space="preserve">11.454</w:t>
            </w:r>
          </w:p>
        </w:tc>
      </w:tr>
      <w:tr>
        <w:trPr>
          <w:cantSplit w:val="0"/>
          <w:trHeight w:val="285" w:hRule="atLeast"/>
          <w:tblHeader w:val="0"/>
        </w:trPr>
        <w:tc>
          <w:tcPr>
            <w:tcBorders>
              <w:top w:color="cccccc" w:space="0" w:sz="4" w:val="single"/>
              <w:left w:color="cccccc" w:space="0" w:sz="4" w:val="single"/>
              <w:bottom w:color="000000" w:space="0" w:sz="12"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both"/>
              <w:rPr>
                <w:sz w:val="20"/>
                <w:szCs w:val="20"/>
              </w:rPr>
            </w:pPr>
            <w:r w:rsidDel="00000000" w:rsidR="00000000" w:rsidRPr="00000000">
              <w:rPr>
                <w:sz w:val="20"/>
                <w:szCs w:val="20"/>
                <w:rtl w:val="0"/>
              </w:rPr>
              <w:t xml:space="preserve">Jerusalén</w:t>
            </w:r>
          </w:p>
        </w:tc>
        <w:tc>
          <w:tcPr>
            <w:tcBorders>
              <w:top w:color="cccccc" w:space="0" w:sz="4" w:val="single"/>
              <w:left w:color="cccccc" w:space="0" w:sz="4" w:val="single"/>
              <w:bottom w:color="000000" w:space="0" w:sz="12"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2E">
            <w:pPr>
              <w:widowControl w:val="0"/>
              <w:jc w:val="both"/>
              <w:rPr>
                <w:sz w:val="20"/>
                <w:szCs w:val="20"/>
              </w:rPr>
            </w:pPr>
            <w:r w:rsidDel="00000000" w:rsidR="00000000" w:rsidRPr="00000000">
              <w:rPr>
                <w:sz w:val="20"/>
                <w:szCs w:val="20"/>
                <w:rtl w:val="0"/>
              </w:rPr>
              <w:t xml:space="preserve">9.035</w:t>
            </w:r>
          </w:p>
        </w:tc>
        <w:tc>
          <w:tcPr>
            <w:tcBorders>
              <w:top w:color="cccccc" w:space="0" w:sz="4" w:val="single"/>
              <w:left w:color="cccccc" w:space="0" w:sz="4" w:val="single"/>
              <w:bottom w:color="000000" w:space="0" w:sz="12"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2F">
            <w:pPr>
              <w:widowControl w:val="0"/>
              <w:jc w:val="both"/>
              <w:rPr>
                <w:sz w:val="20"/>
                <w:szCs w:val="20"/>
              </w:rPr>
            </w:pPr>
            <w:r w:rsidDel="00000000" w:rsidR="00000000" w:rsidRPr="00000000">
              <w:rPr>
                <w:sz w:val="20"/>
                <w:szCs w:val="20"/>
                <w:rtl w:val="0"/>
              </w:rPr>
              <w:t xml:space="preserve">381.737</w:t>
            </w:r>
          </w:p>
        </w:tc>
        <w:tc>
          <w:tcPr>
            <w:tcBorders>
              <w:top w:color="cccccc" w:space="0" w:sz="4"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jc w:val="both"/>
              <w:rPr>
                <w:sz w:val="20"/>
                <w:szCs w:val="20"/>
              </w:rPr>
            </w:pPr>
            <w:r w:rsidDel="00000000" w:rsidR="00000000" w:rsidRPr="00000000">
              <w:rPr>
                <w:sz w:val="20"/>
                <w:szCs w:val="20"/>
                <w:rtl w:val="0"/>
              </w:rPr>
              <w:t xml:space="preserve">9.161,70</w:t>
            </w:r>
          </w:p>
        </w:tc>
        <w:tc>
          <w:tcPr>
            <w:tcBorders>
              <w:top w:color="cccccc" w:space="0" w:sz="4" w:val="single"/>
              <w:left w:color="cccccc" w:space="0" w:sz="4" w:val="single"/>
              <w:bottom w:color="000000" w:space="0" w:sz="12"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1">
            <w:pPr>
              <w:widowControl w:val="0"/>
              <w:jc w:val="both"/>
              <w:rPr>
                <w:sz w:val="20"/>
                <w:szCs w:val="20"/>
              </w:rPr>
            </w:pPr>
            <w:r w:rsidDel="00000000" w:rsidR="00000000" w:rsidRPr="00000000">
              <w:rPr>
                <w:sz w:val="20"/>
                <w:szCs w:val="20"/>
                <w:rtl w:val="0"/>
              </w:rPr>
              <w:t xml:space="preserve">-</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both"/>
              <w:rPr>
                <w:sz w:val="20"/>
                <w:szCs w:val="20"/>
              </w:rPr>
            </w:pPr>
            <w:r w:rsidDel="00000000" w:rsidR="00000000" w:rsidRPr="00000000">
              <w:rPr>
                <w:sz w:val="20"/>
                <w:szCs w:val="20"/>
                <w:rtl w:val="0"/>
              </w:rPr>
              <w:t xml:space="preserve">Hebrón</w:t>
            </w:r>
          </w:p>
        </w:tc>
        <w:tc>
          <w:tcPr>
            <w:tcBorders>
              <w:top w:color="cccccc" w:space="0" w:sz="4" w:val="single"/>
              <w:left w:color="cccccc" w:space="0" w:sz="4" w:val="single"/>
              <w:bottom w:color="cccccc" w:space="0" w:sz="4" w:val="single"/>
              <w:right w:color="000000" w:space="0" w:sz="12" w:val="single"/>
            </w:tcBorders>
            <w:shd w:fill="fce5cd" w:val="clear"/>
            <w:tcMar>
              <w:top w:w="0.0" w:type="dxa"/>
              <w:left w:w="40.0" w:type="dxa"/>
              <w:bottom w:w="0.0" w:type="dxa"/>
              <w:right w:w="40.0" w:type="dxa"/>
            </w:tcMar>
            <w:vAlign w:val="bottom"/>
          </w:tcPr>
          <w:p w:rsidR="00000000" w:rsidDel="00000000" w:rsidP="00000000" w:rsidRDefault="00000000" w:rsidRPr="00000000" w14:paraId="00000033">
            <w:pPr>
              <w:widowControl w:val="0"/>
              <w:jc w:val="both"/>
              <w:rPr>
                <w:sz w:val="20"/>
                <w:szCs w:val="20"/>
              </w:rPr>
            </w:pPr>
            <w:r w:rsidDel="00000000" w:rsidR="00000000" w:rsidRPr="00000000">
              <w:rPr>
                <w:sz w:val="20"/>
                <w:szCs w:val="20"/>
                <w:rtl w:val="0"/>
              </w:rPr>
              <w:t xml:space="preserve">12.078</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34">
            <w:pPr>
              <w:widowControl w:val="0"/>
              <w:jc w:val="both"/>
              <w:rPr>
                <w:sz w:val="20"/>
                <w:szCs w:val="20"/>
              </w:rPr>
            </w:pPr>
            <w:r w:rsidDel="00000000" w:rsidR="00000000" w:rsidRPr="00000000">
              <w:rPr>
                <w:sz w:val="20"/>
                <w:szCs w:val="20"/>
                <w:rtl w:val="0"/>
              </w:rPr>
              <w:t xml:space="preserve">43.731</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5">
            <w:pPr>
              <w:widowControl w:val="0"/>
              <w:jc w:val="both"/>
              <w:rPr>
                <w:sz w:val="20"/>
                <w:szCs w:val="20"/>
              </w:rPr>
            </w:pPr>
            <w:r w:rsidDel="00000000" w:rsidR="00000000" w:rsidRPr="00000000">
              <w:rPr>
                <w:sz w:val="20"/>
                <w:szCs w:val="20"/>
                <w:rtl w:val="0"/>
              </w:rPr>
              <w:t xml:space="preserve">11.851,10</w:t>
            </w:r>
          </w:p>
        </w:tc>
        <w:tc>
          <w:tcPr>
            <w:tcBorders>
              <w:top w:color="cccccc" w:space="0" w:sz="4" w:val="single"/>
              <w:left w:color="cccccc" w:space="0" w:sz="4"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jc w:val="both"/>
              <w:rPr>
                <w:sz w:val="20"/>
                <w:szCs w:val="20"/>
              </w:rPr>
            </w:pPr>
            <w:r w:rsidDel="00000000" w:rsidR="00000000" w:rsidRPr="00000000">
              <w:rPr>
                <w:sz w:val="20"/>
                <w:szCs w:val="20"/>
                <w:rtl w:val="0"/>
              </w:rPr>
              <w:t xml:space="preserve">219</w:t>
            </w:r>
          </w:p>
        </w:tc>
      </w:tr>
      <w:tr>
        <w:trPr>
          <w:cantSplit w:val="0"/>
          <w:trHeight w:val="2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both"/>
              <w:rPr>
                <w:sz w:val="20"/>
                <w:szCs w:val="20"/>
              </w:rPr>
            </w:pPr>
            <w:r w:rsidDel="00000000" w:rsidR="00000000" w:rsidRPr="00000000">
              <w:rPr>
                <w:sz w:val="20"/>
                <w:szCs w:val="20"/>
                <w:rtl w:val="0"/>
              </w:rPr>
              <w:t xml:space="preserve">Total</w:t>
            </w:r>
          </w:p>
        </w:tc>
        <w:tc>
          <w:tcPr>
            <w:tcBorders>
              <w:top w:color="cccccc" w:space="0" w:sz="4" w:val="single"/>
              <w:left w:color="cccccc" w:space="0" w:sz="4" w:val="single"/>
              <w:bottom w:color="cccccc" w:space="0" w:sz="4" w:val="single"/>
              <w:right w:color="cccccc" w:space="0" w:sz="4" w:val="single"/>
            </w:tcBorders>
            <w:shd w:fill="fce5cd" w:val="clear"/>
            <w:tcMar>
              <w:top w:w="0.0" w:type="dxa"/>
              <w:left w:w="40.0" w:type="dxa"/>
              <w:bottom w:w="0.0" w:type="dxa"/>
              <w:right w:w="40.0" w:type="dxa"/>
            </w:tcMar>
            <w:vAlign w:val="bottom"/>
          </w:tcPr>
          <w:p w:rsidR="00000000" w:rsidDel="00000000" w:rsidP="00000000" w:rsidRDefault="00000000" w:rsidRPr="00000000" w14:paraId="00000038">
            <w:pPr>
              <w:widowControl w:val="0"/>
              <w:jc w:val="both"/>
              <w:rPr>
                <w:sz w:val="20"/>
                <w:szCs w:val="20"/>
              </w:rPr>
            </w:pPr>
            <w:r w:rsidDel="00000000" w:rsidR="00000000" w:rsidRPr="00000000">
              <w:rPr>
                <w:sz w:val="20"/>
                <w:szCs w:val="20"/>
                <w:rtl w:val="0"/>
              </w:rPr>
              <w:t xml:space="preserve">747.420</w:t>
            </w:r>
          </w:p>
        </w:tc>
        <w:tc>
          <w:tcPr>
            <w:tcBorders>
              <w:top w:color="cccccc" w:space="0" w:sz="4" w:val="single"/>
              <w:left w:color="cccccc" w:space="0" w:sz="4" w:val="single"/>
              <w:bottom w:color="cccccc" w:space="0" w:sz="4" w:val="single"/>
              <w:right w:color="cccccc" w:space="0" w:sz="4" w:val="single"/>
            </w:tcBorders>
            <w:shd w:fill="d9ead3" w:val="clear"/>
            <w:tcMar>
              <w:top w:w="0.0" w:type="dxa"/>
              <w:left w:w="40.0" w:type="dxa"/>
              <w:bottom w:w="0.0" w:type="dxa"/>
              <w:right w:w="40.0" w:type="dxa"/>
            </w:tcMar>
            <w:vAlign w:val="bottom"/>
          </w:tcPr>
          <w:p w:rsidR="00000000" w:rsidDel="00000000" w:rsidP="00000000" w:rsidRDefault="00000000" w:rsidRPr="00000000" w14:paraId="00000039">
            <w:pPr>
              <w:widowControl w:val="0"/>
              <w:jc w:val="both"/>
              <w:rPr>
                <w:sz w:val="20"/>
                <w:szCs w:val="20"/>
              </w:rPr>
            </w:pPr>
            <w:r w:rsidDel="00000000" w:rsidR="00000000" w:rsidRPr="00000000">
              <w:rPr>
                <w:sz w:val="20"/>
                <w:szCs w:val="20"/>
                <w:rtl w:val="0"/>
              </w:rPr>
              <w:t xml:space="preserve">3.185.000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both"/>
              <w:rPr>
                <w:sz w:val="20"/>
                <w:szCs w:val="20"/>
              </w:rPr>
            </w:pPr>
            <w:r w:rsidDel="00000000" w:rsidR="00000000" w:rsidRPr="00000000">
              <w:rPr>
                <w:sz w:val="20"/>
                <w:szCs w:val="20"/>
                <w:rtl w:val="0"/>
              </w:rPr>
              <w:t xml:space="preserve">701.924,70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both"/>
              <w:rPr>
                <w:sz w:val="20"/>
                <w:szCs w:val="20"/>
              </w:rPr>
            </w:pPr>
            <w:r w:rsidDel="00000000" w:rsidR="00000000" w:rsidRPr="00000000">
              <w:rPr>
                <w:sz w:val="20"/>
                <w:szCs w:val="20"/>
                <w:rtl w:val="0"/>
              </w:rPr>
              <w:t xml:space="preserve">47.524</w:t>
            </w:r>
          </w:p>
        </w:tc>
      </w:tr>
    </w:tbl>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Evidentemente las ciudades tienen alta densidad poblacional pero las condiciones de vida en las mismas hacen que dentro de ellas no haya tanta necesidad de recursos humanitarios.</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Estos centros se establecerán en los núcleos urbanos de al menos un millar de habitantes. Se ha considerado el crecimiento poblacional de los datos más antiguos. Además se ha añadido un 25% para cada centro considerando la población rural que podría trasladarse a recoger los recursos a los centros.</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Basándonos en las necesidades generales de la PIN por clusters, la mayoría requiere de alimentos y agua potable.</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Se supone un reparto mensual por persona de 0,15T de alimentos, 0,6T de agua potable y 0,4T de demás recursos como refugio, infraestructura, medicamentos, etc.</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En las 2 primeras páginas del .cls adjunto se presentan los centros de reparto a considerar, junto con su demanda en miles de PIN y en toneladas de ayuda.</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Esta suma en total 125.000T de ayuda humanitaria para un total de 500.000 personas.</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Asumiendo que el coste mínimo de una tonelada de ayuda humanitaria es de unos 500$ y que se compraran las 125.000 requeridas, su coste ascendería a 62 millones de dólares. El presupuesto mensual estimado es  de 17M$. Se podría cumplir con menos de un 30% de la demanda. </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Al respecto de los vehículos, he considerado, teniendo en cuenta los alquileres, trámites aduaneros, permisos de transporte y documentación requerida para los vehículos en el coste fijo adicional</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275"/>
        <w:gridCol w:w="1275"/>
        <w:gridCol w:w="1485"/>
        <w:gridCol w:w="1590"/>
        <w:tblGridChange w:id="0">
          <w:tblGrid>
            <w:gridCol w:w="1275"/>
            <w:gridCol w:w="1275"/>
            <w:gridCol w:w="1275"/>
            <w:gridCol w:w="1275"/>
            <w:gridCol w:w="1275"/>
            <w:gridCol w:w="1485"/>
            <w:gridCol w:w="159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Capacidad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Velocidad media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Litros de gasolina por km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Coste de la gasolina en Jordania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Sueldo del transportista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Coste fijo adicional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Camión grande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40km/h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Camión mediano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50km/h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1,67$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Furgón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65km/h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r>
    </w:tbl>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color w:val="7d7d7d"/>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Al respecto del mapa, en las 8 primeras páginas del .cls adjunto se encuentran las matrices asociadas al mismo de adyacencia, existencia, usabilidad, distancia.</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b w:val="1"/>
          <w:sz w:val="20"/>
          <w:szCs w:val="20"/>
        </w:rPr>
      </w:pPr>
      <w:r w:rsidDel="00000000" w:rsidR="00000000" w:rsidRPr="00000000">
        <w:rPr>
          <w:b w:val="1"/>
          <w:sz w:val="20"/>
          <w:szCs w:val="20"/>
          <w:rtl w:val="0"/>
        </w:rPr>
        <w:t xml:space="preserve">Estamos considerando 830kms de rutas en total,</w:t>
      </w:r>
    </w:p>
    <w:p w:rsidR="00000000" w:rsidDel="00000000" w:rsidP="00000000" w:rsidRDefault="00000000" w:rsidRPr="00000000" w14:paraId="00000073">
      <w:pPr>
        <w:jc w:val="both"/>
        <w:rPr>
          <w:b w:val="1"/>
          <w:sz w:val="20"/>
          <w:szCs w:val="20"/>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b w:val="1"/>
          <w:sz w:val="20"/>
          <w:szCs w:val="20"/>
          <w:u w:val="none"/>
        </w:rPr>
      </w:pPr>
      <w:r w:rsidDel="00000000" w:rsidR="00000000" w:rsidRPr="00000000">
        <w:rPr>
          <w:b w:val="1"/>
          <w:sz w:val="20"/>
          <w:szCs w:val="20"/>
          <w:rtl w:val="0"/>
        </w:rPr>
        <w:t xml:space="preserve">62 nodos totales</w:t>
      </w:r>
    </w:p>
    <w:p w:rsidR="00000000" w:rsidDel="00000000" w:rsidP="00000000" w:rsidRDefault="00000000" w:rsidRPr="00000000" w14:paraId="00000075">
      <w:pPr>
        <w:numPr>
          <w:ilvl w:val="0"/>
          <w:numId w:val="1"/>
        </w:numPr>
        <w:ind w:left="720" w:hanging="360"/>
        <w:jc w:val="both"/>
        <w:rPr>
          <w:b w:val="1"/>
          <w:sz w:val="20"/>
          <w:szCs w:val="20"/>
          <w:u w:val="none"/>
        </w:rPr>
      </w:pPr>
      <w:r w:rsidDel="00000000" w:rsidR="00000000" w:rsidRPr="00000000">
        <w:rPr>
          <w:b w:val="1"/>
          <w:sz w:val="20"/>
          <w:szCs w:val="20"/>
          <w:rtl w:val="0"/>
        </w:rPr>
        <w:t xml:space="preserve">76 arcos totales</w:t>
      </w:r>
    </w:p>
    <w:p w:rsidR="00000000" w:rsidDel="00000000" w:rsidP="00000000" w:rsidRDefault="00000000" w:rsidRPr="00000000" w14:paraId="00000076">
      <w:pPr>
        <w:numPr>
          <w:ilvl w:val="0"/>
          <w:numId w:val="1"/>
        </w:numPr>
        <w:ind w:left="720" w:hanging="360"/>
        <w:jc w:val="both"/>
        <w:rPr>
          <w:b w:val="1"/>
          <w:sz w:val="20"/>
          <w:szCs w:val="20"/>
          <w:u w:val="none"/>
        </w:rPr>
      </w:pPr>
      <w:r w:rsidDel="00000000" w:rsidR="00000000" w:rsidRPr="00000000">
        <w:rPr>
          <w:b w:val="1"/>
          <w:sz w:val="20"/>
          <w:szCs w:val="20"/>
          <w:rtl w:val="0"/>
        </w:rPr>
        <w:t xml:space="preserve">36 arcos seguros</w:t>
      </w:r>
    </w:p>
    <w:p w:rsidR="00000000" w:rsidDel="00000000" w:rsidP="00000000" w:rsidRDefault="00000000" w:rsidRPr="00000000" w14:paraId="00000077">
      <w:pPr>
        <w:numPr>
          <w:ilvl w:val="0"/>
          <w:numId w:val="1"/>
        </w:numPr>
        <w:ind w:left="720" w:hanging="360"/>
        <w:jc w:val="both"/>
        <w:rPr>
          <w:b w:val="1"/>
          <w:sz w:val="20"/>
          <w:szCs w:val="20"/>
          <w:u w:val="none"/>
        </w:rPr>
      </w:pPr>
      <w:r w:rsidDel="00000000" w:rsidR="00000000" w:rsidRPr="00000000">
        <w:rPr>
          <w:b w:val="1"/>
          <w:sz w:val="20"/>
          <w:szCs w:val="20"/>
          <w:rtl w:val="0"/>
        </w:rPr>
        <w:t xml:space="preserve">40 arcos inseguros</w:t>
      </w:r>
    </w:p>
    <w:p w:rsidR="00000000" w:rsidDel="00000000" w:rsidP="00000000" w:rsidRDefault="00000000" w:rsidRPr="00000000" w14:paraId="00000078">
      <w:pPr>
        <w:ind w:left="0" w:firstLine="0"/>
        <w:jc w:val="both"/>
        <w:rPr>
          <w:b w:val="1"/>
          <w:sz w:val="20"/>
          <w:szCs w:val="20"/>
        </w:rPr>
      </w:pPr>
      <w:r w:rsidDel="00000000" w:rsidR="00000000" w:rsidRPr="00000000">
        <w:rPr>
          <w:rtl w:val="0"/>
        </w:rPr>
      </w:r>
    </w:p>
    <w:p w:rsidR="00000000" w:rsidDel="00000000" w:rsidP="00000000" w:rsidRDefault="00000000" w:rsidRPr="00000000" w14:paraId="00000079">
      <w:pPr>
        <w:ind w:left="0" w:firstLine="0"/>
        <w:jc w:val="both"/>
        <w:rPr>
          <w:sz w:val="20"/>
          <w:szCs w:val="20"/>
        </w:rPr>
      </w:pPr>
      <w:r w:rsidDel="00000000" w:rsidR="00000000" w:rsidRPr="00000000">
        <w:rPr>
          <w:sz w:val="20"/>
          <w:szCs w:val="20"/>
          <w:rtl w:val="0"/>
        </w:rPr>
        <w:t xml:space="preserve">Adjunto un mapa desactualizado pero aproximado de la estructura considerada. Los arcos negros representan pasos inseguros o inhabilitados, los blancos pasos seguros. Toda la ayuda entra desde el este del estado llegando a Jericó.</w:t>
      </w:r>
    </w:p>
    <w:p w:rsidR="00000000" w:rsidDel="00000000" w:rsidP="00000000" w:rsidRDefault="00000000" w:rsidRPr="00000000" w14:paraId="0000007A">
      <w:pPr>
        <w:ind w:left="0" w:firstLine="0"/>
        <w:jc w:val="both"/>
        <w:rPr>
          <w:sz w:val="20"/>
          <w:szCs w:val="20"/>
        </w:rPr>
      </w:pPr>
      <w:r w:rsidDel="00000000" w:rsidR="00000000" w:rsidRPr="00000000">
        <w:rPr>
          <w:rtl w:val="0"/>
        </w:rPr>
      </w:r>
    </w:p>
    <w:p w:rsidR="00000000" w:rsidDel="00000000" w:rsidP="00000000" w:rsidRDefault="00000000" w:rsidRPr="00000000" w14:paraId="0000007B">
      <w:pPr>
        <w:ind w:left="0" w:firstLine="0"/>
        <w:jc w:val="both"/>
        <w:rPr>
          <w:sz w:val="20"/>
          <w:szCs w:val="20"/>
        </w:rPr>
      </w:pPr>
      <w:r w:rsidDel="00000000" w:rsidR="00000000" w:rsidRPr="00000000">
        <w:rPr>
          <w:sz w:val="20"/>
          <w:szCs w:val="20"/>
        </w:rPr>
        <w:drawing>
          <wp:inline distB="114300" distT="114300" distL="114300" distR="114300">
            <wp:extent cx="4624388" cy="7995436"/>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24388" cy="799543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empresas.net/ObrasPublicas/Articulos/221377-Quien-paga-la-conservacion-en-las-autopistas-sin-barrera.html" TargetMode="External"/><Relationship Id="rId7" Type="http://schemas.openxmlformats.org/officeDocument/2006/relationships/hyperlink" Target="https://worldpopulationreview.com/countries/cities/palestin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