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Insumos preliminares para Architecture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EMB_Architecture_Inputs_Preliminares_v0.1 · v0.1 · Nivel 2 Profesional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Corte documental: </w:t>
      </w:r>
      <w:r w:rsidDel="00000000" w:rsidR="00000000" w:rsidRPr="00000000">
        <w:rPr>
          <w:rtl w:val="0"/>
        </w:rPr>
        <w:t xml:space="preserve">sept 9,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DISCOVERY ACTIVO · PRELIMINAR / BORRADOR / NO BASELINE / NO REQUERIMIENTOS VALIDADOS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Uso permitido de este insumo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Estas fronteras funcionales ayudan a plantear preguntas de arquitectura y sus dependencias. No son diseño de solución, baseline, arquitectura técnica ni paquete listo para Blitzy. Se acompañan de 36 RF y 26 NFR preliminares. La división en capacidades no implica módulos, servicios o ownership técnico.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Paquete de consulta: RF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EMB_Requerimientos_Funcionales_Preliminares_v0.1</w:t>
        </w:r>
      </w:hyperlink>
      <w:r w:rsidDel="00000000" w:rsidR="00000000" w:rsidRPr="00000000">
        <w:rPr>
          <w:rtl w:val="0"/>
        </w:rPr>
        <w:t xml:space="preserve">   NFR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EMB_Requerimientos_No_Funcionales_Preliminares_v0.1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Actores y fronteras observadas</w:t>
      </w:r>
    </w:p>
    <w:tbl>
      <w:tblPr>
        <w:tblStyle w:val="Table1"/>
        <w:tblW w:w="10656.000000000002" w:type="dxa"/>
        <w:jc w:val="left"/>
        <w:tblInd w:w="-65.0" w:type="dxa"/>
        <w:tblLayout w:type="fixed"/>
        <w:tblLook w:val="0400"/>
      </w:tblPr>
      <w:tblGrid>
        <w:gridCol w:w="2304"/>
        <w:gridCol w:w="8352"/>
        <w:tblGridChange w:id="0">
          <w:tblGrid>
            <w:gridCol w:w="2304"/>
            <w:gridCol w:w="8352"/>
          </w:tblGrid>
        </w:tblGridChange>
      </w:tblGrid>
      <w:tr>
        <w:trPr>
          <w:cantSplit w:val="1"/>
          <w:tblHeader w:val="1"/>
        </w:trPr>
        <w:tc>
          <w:tcPr>
            <w:shd w:fill="173a4e" w:val="clear"/>
            <w:tcMar>
              <w:top w:w="65.0" w:type="dxa"/>
              <w:left w:w="65.0" w:type="dxa"/>
              <w:bottom w:w="65.0" w:type="dxa"/>
              <w:right w:w="65.0" w:type="dxa"/>
            </w:tcMar>
          </w:tcPr>
          <w:p w:rsidR="00000000" w:rsidDel="00000000" w:rsidP="00000000" w:rsidRDefault="00000000" w:rsidRPr="00000000" w14:paraId="00000009">
            <w:pPr>
              <w:spacing w:after="6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a4e" w:val="clear"/>
            <w:tcMar>
              <w:top w:w="65.0" w:type="dxa"/>
              <w:left w:w="65.0" w:type="dxa"/>
              <w:bottom w:w="65.0" w:type="dxa"/>
              <w:right w:w="65.0" w:type="dxa"/>
            </w:tcMar>
          </w:tcPr>
          <w:p w:rsidR="00000000" w:rsidDel="00000000" w:rsidP="00000000" w:rsidRDefault="00000000" w:rsidRPr="00000000" w14:paraId="0000000A">
            <w:pPr>
              <w:spacing w:after="6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Papel y frontera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5" w:val="clear"/>
            <w:tcMar>
              <w:top w:w="65.0" w:type="dxa"/>
              <w:left w:w="65.0" w:type="dxa"/>
              <w:bottom w:w="65.0" w:type="dxa"/>
              <w:right w:w="65.0" w:type="dxa"/>
            </w:tcMar>
          </w:tcPr>
          <w:p w:rsidR="00000000" w:rsidDel="00000000" w:rsidP="00000000" w:rsidRDefault="00000000" w:rsidRPr="00000000" w14:paraId="0000000B">
            <w:pPr>
              <w:spacing w:after="60" w:line="245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Unidad/Mina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5" w:val="clear"/>
            <w:tcMar>
              <w:top w:w="65.0" w:type="dxa"/>
              <w:left w:w="65.0" w:type="dxa"/>
              <w:bottom w:w="65.0" w:type="dxa"/>
              <w:right w:w="65.0" w:type="dxa"/>
            </w:tcMar>
          </w:tcPr>
          <w:p w:rsidR="00000000" w:rsidDel="00000000" w:rsidP="00000000" w:rsidRDefault="00000000" w:rsidRPr="00000000" w14:paraId="0000000C">
            <w:pPr>
              <w:spacing w:after="60" w:line="245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Lote y ponderado referencial; no es resultado oficial PLC de intercambio. Fuente: TR I01/I02/E01; FL etapa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5.0" w:type="dxa"/>
              <w:left w:w="65.0" w:type="dxa"/>
              <w:bottom w:w="65.0" w:type="dxa"/>
              <w:right w:w="65.0" w:type="dxa"/>
            </w:tcMar>
          </w:tcPr>
          <w:p w:rsidR="00000000" w:rsidDel="00000000" w:rsidP="00000000" w:rsidRDefault="00000000" w:rsidRPr="00000000" w14:paraId="0000000D">
            <w:pPr>
              <w:spacing w:after="60" w:line="245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ERSA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5.0" w:type="dxa"/>
              <w:left w:w="65.0" w:type="dxa"/>
              <w:bottom w:w="65.0" w:type="dxa"/>
              <w:right w:w="65.0" w:type="dxa"/>
            </w:tcMar>
          </w:tcPr>
          <w:p w:rsidR="00000000" w:rsidDel="00000000" w:rsidP="00000000" w:rsidRDefault="00000000" w:rsidRPr="00000000" w14:paraId="0000000E">
            <w:pPr>
              <w:spacing w:after="60" w:line="245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Analiza, captura y recorre revisión/autorización; representante de Fresnillo, distinto del tercero. Fuente: TR DH-01/C01–C07.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5" w:val="clear"/>
            <w:tcMar>
              <w:top w:w="65.0" w:type="dxa"/>
              <w:left w:w="65.0" w:type="dxa"/>
              <w:bottom w:w="65.0" w:type="dxa"/>
              <w:right w:w="65.0" w:type="dxa"/>
            </w:tcMar>
          </w:tcPr>
          <w:p w:rsidR="00000000" w:rsidDel="00000000" w:rsidP="00000000" w:rsidRDefault="00000000" w:rsidRPr="00000000" w14:paraId="0000000F">
            <w:pPr>
              <w:spacing w:after="60" w:line="245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Fresnillo PLC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5" w:val="clear"/>
            <w:tcMar>
              <w:top w:w="65.0" w:type="dxa"/>
              <w:left w:w="65.0" w:type="dxa"/>
              <w:bottom w:w="65.0" w:type="dxa"/>
              <w:right w:w="65.0" w:type="dxa"/>
            </w:tcMar>
          </w:tcPr>
          <w:p w:rsidR="00000000" w:rsidDel="00000000" w:rsidP="00000000" w:rsidRDefault="00000000" w:rsidRPr="00000000" w14:paraId="00000010">
            <w:pPr>
              <w:spacing w:after="60" w:line="245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Revisión interna, liberación, intercambio y decisiones; facultades exactas pendientes. Fuente: TR R02; FL etapas 8–15.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5.0" w:type="dxa"/>
              <w:left w:w="65.0" w:type="dxa"/>
              <w:bottom w:w="65.0" w:type="dxa"/>
              <w:right w:w="65.0" w:type="dxa"/>
            </w:tcMar>
          </w:tcPr>
          <w:p w:rsidR="00000000" w:rsidDel="00000000" w:rsidP="00000000" w:rsidRDefault="00000000" w:rsidRPr="00000000" w14:paraId="00000011">
            <w:pPr>
              <w:spacing w:after="60" w:line="245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Met-Mex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5.0" w:type="dxa"/>
              <w:left w:w="65.0" w:type="dxa"/>
              <w:bottom w:w="65.0" w:type="dxa"/>
              <w:right w:w="65.0" w:type="dxa"/>
            </w:tcMar>
          </w:tcPr>
          <w:p w:rsidR="00000000" w:rsidDel="00000000" w:rsidP="00000000" w:rsidRDefault="00000000" w:rsidRPr="00000000" w14:paraId="00000012">
            <w:pPr>
              <w:spacing w:after="60" w:line="245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Contraparte del intercambio, ensaye propio, archivos y entrega de muestra; acceso técnico no aprobado. Fuente: TR M01/E03.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5" w:val="clear"/>
            <w:tcMar>
              <w:top w:w="65.0" w:type="dxa"/>
              <w:left w:w="65.0" w:type="dxa"/>
              <w:bottom w:w="65.0" w:type="dxa"/>
              <w:right w:w="65.0" w:type="dxa"/>
            </w:tcMar>
          </w:tcPr>
          <w:p w:rsidR="00000000" w:rsidDel="00000000" w:rsidP="00000000" w:rsidRDefault="00000000" w:rsidRPr="00000000" w14:paraId="00000013">
            <w:pPr>
              <w:spacing w:after="60" w:line="245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Laboratorio de tercería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5" w:val="clear"/>
            <w:tcMar>
              <w:top w:w="65.0" w:type="dxa"/>
              <w:left w:w="65.0" w:type="dxa"/>
              <w:bottom w:w="65.0" w:type="dxa"/>
              <w:right w:w="65.0" w:type="dxa"/>
            </w:tcMar>
          </w:tcPr>
          <w:p w:rsidR="00000000" w:rsidDel="00000000" w:rsidP="00000000" w:rsidRDefault="00000000" w:rsidRPr="00000000" w14:paraId="00000014">
            <w:pPr>
              <w:spacing w:after="60" w:line="245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Analiza elementos solicitados; su resultado no es automáticamente el aplicable. Acceso directo por decidir. Fuente: TR I04/E04/R03.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Capacidades y objetos observados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Muestras/lotes; ensayes por elemento; captura, revisión y autorización; conciliación interna; intercambio; negociación; tercería; historia/auditoría; condiciones contractuales por contexto/vigencia; importación/exportación. Fuentes: TR C01–C09, M01–M06, N01–N08, K01–K04, E01–E06; FL etapas 1–16.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Referencias RF: captura RF-001–007; revisión/liberación RF-008–011; intercambio/RN RF-012–018; tercería/aplicable RF-019–021; ciclos RF-022–027; historia/consulta/salidas RF-028–033; fechas/condiciones/visibilidad RF-034–036.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Relación semántica observada: ponderado de unidad sirve de referencia interna. Resultado ERSA, tras liberación, representa oficialmente a PLC con el mismo valor. Se compara PLC con Met-Mex; INT se conserva y RN registra decisión posterior. Tercería agrega evidencia analítica independiente. El resultado aplicable se resuelve por elemento según regla/decisión válida aún por precisar. No es sustitución automática de datos.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Sistemas y medios observados</w:t>
      </w:r>
    </w:p>
    <w:tbl>
      <w:tblPr>
        <w:tblStyle w:val="Table2"/>
        <w:tblW w:w="10656.000000000002" w:type="dxa"/>
        <w:jc w:val="left"/>
        <w:tblInd w:w="-65.0" w:type="dxa"/>
        <w:tblLayout w:type="fixed"/>
        <w:tblLook w:val="0400"/>
      </w:tblPr>
      <w:tblGrid>
        <w:gridCol w:w="2304"/>
        <w:gridCol w:w="8352"/>
        <w:tblGridChange w:id="0">
          <w:tblGrid>
            <w:gridCol w:w="2304"/>
            <w:gridCol w:w="8352"/>
          </w:tblGrid>
        </w:tblGridChange>
      </w:tblGrid>
      <w:tr>
        <w:trPr>
          <w:cantSplit w:val="1"/>
          <w:tblHeader w:val="1"/>
        </w:trPr>
        <w:tc>
          <w:tcPr>
            <w:shd w:fill="173a4e" w:val="clear"/>
            <w:tcMar>
              <w:top w:w="65.0" w:type="dxa"/>
              <w:left w:w="65.0" w:type="dxa"/>
              <w:bottom w:w="65.0" w:type="dxa"/>
              <w:right w:w="65.0" w:type="dxa"/>
            </w:tcMar>
          </w:tcPr>
          <w:p w:rsidR="00000000" w:rsidDel="00000000" w:rsidP="00000000" w:rsidRDefault="00000000" w:rsidRPr="00000000" w14:paraId="0000001A">
            <w:pPr>
              <w:spacing w:after="6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a4e" w:val="clear"/>
            <w:tcMar>
              <w:top w:w="65.0" w:type="dxa"/>
              <w:left w:w="65.0" w:type="dxa"/>
              <w:bottom w:w="65.0" w:type="dxa"/>
              <w:right w:w="65.0" w:type="dxa"/>
            </w:tcMar>
          </w:tcPr>
          <w:p w:rsidR="00000000" w:rsidDel="00000000" w:rsidP="00000000" w:rsidRDefault="00000000" w:rsidRPr="00000000" w14:paraId="0000001B">
            <w:pPr>
              <w:spacing w:after="6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Evidencia y límite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5" w:val="clear"/>
            <w:tcMar>
              <w:top w:w="65.0" w:type="dxa"/>
              <w:left w:w="65.0" w:type="dxa"/>
              <w:bottom w:w="65.0" w:type="dxa"/>
              <w:right w:w="65.0" w:type="dxa"/>
            </w:tcMar>
          </w:tcPr>
          <w:p w:rsidR="00000000" w:rsidDel="00000000" w:rsidP="00000000" w:rsidRDefault="00000000" w:rsidRPr="00000000" w14:paraId="0000001C">
            <w:pPr>
              <w:spacing w:after="60" w:line="245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PROVEM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5" w:val="clear"/>
            <w:tcMar>
              <w:top w:w="65.0" w:type="dxa"/>
              <w:left w:w="65.0" w:type="dxa"/>
              <w:bottom w:w="65.0" w:type="dxa"/>
              <w:right w:w="65.0" w:type="dxa"/>
            </w:tcMar>
          </w:tcPr>
          <w:p w:rsidR="00000000" w:rsidDel="00000000" w:rsidP="00000000" w:rsidRDefault="00000000" w:rsidRPr="00000000" w14:paraId="0000001D">
            <w:pPr>
              <w:spacing w:after="60" w:line="245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busca obtener identificación de lotes, cierre y peso seco; sistema fuente por dato, acceso y contrato de datos TBD. TR E01; A 00:48:20–00:48:40.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5.0" w:type="dxa"/>
              <w:left w:w="65.0" w:type="dxa"/>
              <w:bottom w:w="65.0" w:type="dxa"/>
              <w:right w:w="65.0" w:type="dxa"/>
            </w:tcMar>
          </w:tcPr>
          <w:p w:rsidR="00000000" w:rsidDel="00000000" w:rsidP="00000000" w:rsidRDefault="00000000" w:rsidRPr="00000000" w14:paraId="0000001E">
            <w:pPr>
              <w:spacing w:after="60" w:line="245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SISLIQ y BDO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5.0" w:type="dxa"/>
              <w:left w:w="65.0" w:type="dxa"/>
              <w:bottom w:w="65.0" w:type="dxa"/>
              <w:right w:w="65.0" w:type="dxa"/>
            </w:tcMar>
          </w:tcPr>
          <w:p w:rsidR="00000000" w:rsidDel="00000000" w:rsidP="00000000" w:rsidRDefault="00000000" w:rsidRPr="00000000" w14:paraId="0000001F">
            <w:pPr>
              <w:spacing w:after="60" w:line="245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Rótulos en F1/F2/F4; TR E02 aclara grafías. No demuestra interfaz implementada ni relación técnica entre sistemas.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5" w:val="clear"/>
            <w:tcMar>
              <w:top w:w="65.0" w:type="dxa"/>
              <w:left w:w="65.0" w:type="dxa"/>
              <w:bottom w:w="65.0" w:type="dxa"/>
              <w:right w:w="65.0" w:type="dxa"/>
            </w:tcMar>
          </w:tcPr>
          <w:p w:rsidR="00000000" w:rsidDel="00000000" w:rsidP="00000000" w:rsidRDefault="00000000" w:rsidRPr="00000000" w14:paraId="00000020">
            <w:pPr>
              <w:spacing w:after="60" w:line="245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Excel y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5" w:val="clear"/>
            <w:tcMar>
              <w:top w:w="65.0" w:type="dxa"/>
              <w:left w:w="65.0" w:type="dxa"/>
              <w:bottom w:w="65.0" w:type="dxa"/>
              <w:right w:w="65.0" w:type="dxa"/>
            </w:tcMar>
          </w:tcPr>
          <w:p w:rsidR="00000000" w:rsidDel="00000000" w:rsidP="00000000" w:rsidRDefault="00000000" w:rsidRPr="00000000" w14:paraId="00000021">
            <w:pPr>
              <w:spacing w:after="60" w:line="245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Excel Met-Mex, archivos de terceros, cédula externa y exportación ERSA son objetos distintos. Formatos reales y llaves TBD. TR N05/E03/E04.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5.0" w:type="dxa"/>
              <w:left w:w="65.0" w:type="dxa"/>
              <w:bottom w:w="65.0" w:type="dxa"/>
              <w:right w:w="65.0" w:type="dxa"/>
            </w:tcMar>
          </w:tcPr>
          <w:p w:rsidR="00000000" w:rsidDel="00000000" w:rsidP="00000000" w:rsidRDefault="00000000" w:rsidRPr="00000000" w14:paraId="00000022">
            <w:pPr>
              <w:spacing w:after="60" w:line="245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Correo y certificado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5.0" w:type="dxa"/>
              <w:left w:w="65.0" w:type="dxa"/>
              <w:bottom w:w="65.0" w:type="dxa"/>
              <w:right w:w="65.0" w:type="dxa"/>
            </w:tcMar>
          </w:tcPr>
          <w:p w:rsidR="00000000" w:rsidDel="00000000" w:rsidP="00000000" w:rsidRDefault="00000000" w:rsidRPr="00000000" w14:paraId="00000023">
            <w:pPr>
              <w:spacing w:after="60" w:line="245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Evidencia operativa del intercambio/tercería; cargar copia al sistema no reemplaza envío simultáneo ni demuestra integridad. TR E05/E06.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Condicionantes de calidad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Sustentados: historia y auditabilidad, autoría, controles de autorización, procedencia/autoridad, separación comercial, prioridad de rapidez y pocas interacciones, ciclos sin tope artificial. NFR-001–008. Inferidos por validar: cero frente a ausencia, unidades/precisión, consistencia contextual y conflictos de edición. NFR-009–012.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Propuestos para TI/Negocio: continuidad, respaldo, RTO/RPO, retención, seguridad técnica/cifrado, observabilidad, volumen/concurrencia, tiempos de respuesta, compatibilidad, accesibilidad, ambientes, logging y SLA de interfaces. NFR-013–026: métricas TBD.</w:t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Decisiones técnicas no tomadas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APIs; servicios y módulos técnicos; ownership técnico; base de datos y separación física; eventos/colas; cloud y alojamiento; patrón de integración; DW/BI y Power BI. Tampoco se aprueban CyberArk, SSO concreto o acceso directo de terceros. No inferir selección tecnológica a partir de nombres del sistema actual. Fuentes: G1/G2/G3, TR E02/R03/P08/P09 y S1 §5.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Riesgos y pendientes que no deben convertirse en supuestos</w:t>
      </w:r>
    </w:p>
    <w:tbl>
      <w:tblPr>
        <w:tblStyle w:val="Table3"/>
        <w:tblW w:w="10656.0" w:type="dxa"/>
        <w:jc w:val="left"/>
        <w:tblInd w:w="-65.0" w:type="dxa"/>
        <w:tblLayout w:type="fixed"/>
        <w:tblLook w:val="0400"/>
      </w:tblPr>
      <w:tblGrid>
        <w:gridCol w:w="2592"/>
        <w:gridCol w:w="8064"/>
        <w:tblGridChange w:id="0">
          <w:tblGrid>
            <w:gridCol w:w="2592"/>
            <w:gridCol w:w="8064"/>
          </w:tblGrid>
        </w:tblGridChange>
      </w:tblGrid>
      <w:tr>
        <w:trPr>
          <w:cantSplit w:val="1"/>
          <w:tblHeader w:val="1"/>
        </w:trPr>
        <w:tc>
          <w:tcPr>
            <w:shd w:fill="173a4e" w:val="clear"/>
            <w:tcMar>
              <w:top w:w="65.0" w:type="dxa"/>
              <w:left w:w="65.0" w:type="dxa"/>
              <w:bottom w:w="65.0" w:type="dxa"/>
              <w:right w:w="65.0" w:type="dxa"/>
            </w:tcMar>
          </w:tcPr>
          <w:p w:rsidR="00000000" w:rsidDel="00000000" w:rsidP="00000000" w:rsidRDefault="00000000" w:rsidRPr="00000000" w14:paraId="0000002A">
            <w:pPr>
              <w:spacing w:after="6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a4e" w:val="clear"/>
            <w:tcMar>
              <w:top w:w="65.0" w:type="dxa"/>
              <w:left w:w="65.0" w:type="dxa"/>
              <w:bottom w:w="65.0" w:type="dxa"/>
              <w:right w:w="65.0" w:type="dxa"/>
            </w:tcMar>
          </w:tcPr>
          <w:p w:rsidR="00000000" w:rsidDel="00000000" w:rsidP="00000000" w:rsidRDefault="00000000" w:rsidRPr="00000000" w14:paraId="0000002B">
            <w:pPr>
              <w:spacing w:after="6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Implicación para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5" w:val="clear"/>
            <w:tcMar>
              <w:top w:w="65.0" w:type="dxa"/>
              <w:left w:w="65.0" w:type="dxa"/>
              <w:bottom w:w="65.0" w:type="dxa"/>
              <w:right w:w="65.0" w:type="dxa"/>
            </w:tcMar>
          </w:tcPr>
          <w:p w:rsidR="00000000" w:rsidDel="00000000" w:rsidP="00000000" w:rsidRDefault="00000000" w:rsidRPr="00000000" w14:paraId="0000002C">
            <w:pPr>
              <w:spacing w:after="60" w:line="245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P01/P07 · RN y tercería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5" w:val="clear"/>
            <w:tcMar>
              <w:top w:w="65.0" w:type="dxa"/>
              <w:left w:w="65.0" w:type="dxa"/>
              <w:bottom w:w="65.0" w:type="dxa"/>
              <w:right w:w="65.0" w:type="dxa"/>
            </w:tcMar>
          </w:tcPr>
          <w:p w:rsidR="00000000" w:rsidDel="00000000" w:rsidP="00000000" w:rsidRDefault="00000000" w:rsidRPr="00000000" w14:paraId="0000002D">
            <w:pPr>
              <w:spacing w:after="60" w:line="245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Dominio de decisión y valor aplicable incompletos. No implementar RN como número final ni una fórmula universal del tercero.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5.0" w:type="dxa"/>
              <w:left w:w="65.0" w:type="dxa"/>
              <w:bottom w:w="65.0" w:type="dxa"/>
              <w:right w:w="65.0" w:type="dxa"/>
            </w:tcMar>
          </w:tcPr>
          <w:p w:rsidR="00000000" w:rsidDel="00000000" w:rsidP="00000000" w:rsidRDefault="00000000" w:rsidRPr="00000000" w14:paraId="0000002E">
            <w:pPr>
              <w:spacing w:after="60" w:line="245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P02 · Autoridades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5.0" w:type="dxa"/>
              <w:left w:w="65.0" w:type="dxa"/>
              <w:bottom w:w="65.0" w:type="dxa"/>
              <w:right w:w="65.0" w:type="dxa"/>
            </w:tcMar>
          </w:tcPr>
          <w:p w:rsidR="00000000" w:rsidDel="00000000" w:rsidP="00000000" w:rsidRDefault="00000000" w:rsidRPr="00000000" w14:paraId="0000002F">
            <w:pPr>
              <w:spacing w:after="60" w:line="245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Roles, suplencias, visibilidad y evento de liberación TBD. No usar personas de ejemplos como matriz de permisos.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5" w:val="clear"/>
            <w:tcMar>
              <w:top w:w="65.0" w:type="dxa"/>
              <w:left w:w="65.0" w:type="dxa"/>
              <w:bottom w:w="65.0" w:type="dxa"/>
              <w:right w:w="65.0" w:type="dxa"/>
            </w:tcMar>
          </w:tcPr>
          <w:p w:rsidR="00000000" w:rsidDel="00000000" w:rsidP="00000000" w:rsidRDefault="00000000" w:rsidRPr="00000000" w14:paraId="00000030">
            <w:pPr>
              <w:spacing w:after="60" w:line="245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P03/P04 · Salidas y valores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5" w:val="clear"/>
            <w:tcMar>
              <w:top w:w="65.0" w:type="dxa"/>
              <w:left w:w="65.0" w:type="dxa"/>
              <w:bottom w:w="65.0" w:type="dxa"/>
              <w:right w:w="65.0" w:type="dxa"/>
            </w:tcMar>
          </w:tcPr>
          <w:p w:rsidR="00000000" w:rsidDel="00000000" w:rsidP="00000000" w:rsidRDefault="00000000" w:rsidRPr="00000000" w14:paraId="00000031">
            <w:pPr>
              <w:spacing w:after="60" w:line="245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Archivos reales, selección Au/Ag, cero/ausencia, unidades y precisión TBD. Riesgo de exposición o comparación incorrecta.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5.0" w:type="dxa"/>
              <w:left w:w="65.0" w:type="dxa"/>
              <w:bottom w:w="65.0" w:type="dxa"/>
              <w:right w:w="65.0" w:type="dxa"/>
            </w:tcMar>
          </w:tcPr>
          <w:p w:rsidR="00000000" w:rsidDel="00000000" w:rsidP="00000000" w:rsidRDefault="00000000" w:rsidRPr="00000000" w14:paraId="00000032">
            <w:pPr>
              <w:spacing w:after="60" w:line="245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P05 · Contrato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5.0" w:type="dxa"/>
              <w:left w:w="65.0" w:type="dxa"/>
              <w:bottom w:w="65.0" w:type="dxa"/>
              <w:right w:w="65.0" w:type="dxa"/>
            </w:tcMar>
          </w:tcPr>
          <w:p w:rsidR="00000000" w:rsidDel="00000000" w:rsidP="00000000" w:rsidRDefault="00000000" w:rsidRPr="00000000" w14:paraId="00000033">
            <w:pPr>
              <w:spacing w:after="60" w:line="245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Reglas, límites, evento de vigencia y autoridad TBD; no usar números ilustrativos como configuración.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5" w:val="clear"/>
            <w:tcMar>
              <w:top w:w="65.0" w:type="dxa"/>
              <w:left w:w="65.0" w:type="dxa"/>
              <w:bottom w:w="65.0" w:type="dxa"/>
              <w:right w:w="65.0" w:type="dxa"/>
            </w:tcMar>
          </w:tcPr>
          <w:p w:rsidR="00000000" w:rsidDel="00000000" w:rsidP="00000000" w:rsidRDefault="00000000" w:rsidRPr="00000000" w14:paraId="00000034">
            <w:pPr>
              <w:spacing w:after="60" w:line="245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P07 · Ciclos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5" w:val="clear"/>
            <w:tcMar>
              <w:top w:w="65.0" w:type="dxa"/>
              <w:left w:w="65.0" w:type="dxa"/>
              <w:bottom w:w="65.0" w:type="dxa"/>
              <w:right w:w="65.0" w:type="dxa"/>
            </w:tcMar>
          </w:tcPr>
          <w:p w:rsidR="00000000" w:rsidDel="00000000" w:rsidP="00000000" w:rsidRDefault="00000000" w:rsidRPr="00000000" w14:paraId="00000035">
            <w:pPr>
              <w:spacing w:after="60" w:line="245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Ámbito de contadores, sustitución y cancelaciones TBD. Sin máximo artificial; no asumir dos columnas/ciclos.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5.0" w:type="dxa"/>
              <w:left w:w="65.0" w:type="dxa"/>
              <w:bottom w:w="65.0" w:type="dxa"/>
              <w:right w:w="65.0" w:type="dxa"/>
            </w:tcMar>
          </w:tcPr>
          <w:p w:rsidR="00000000" w:rsidDel="00000000" w:rsidP="00000000" w:rsidRDefault="00000000" w:rsidRPr="00000000" w14:paraId="00000036">
            <w:pPr>
              <w:spacing w:after="60" w:line="245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P08/P09 · Integración y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5.0" w:type="dxa"/>
              <w:left w:w="65.0" w:type="dxa"/>
              <w:bottom w:w="65.0" w:type="dxa"/>
              <w:right w:w="65.0" w:type="dxa"/>
            </w:tcMar>
          </w:tcPr>
          <w:p w:rsidR="00000000" w:rsidDel="00000000" w:rsidP="00000000" w:rsidRDefault="00000000" w:rsidRPr="00000000" w14:paraId="00000037">
            <w:pPr>
              <w:spacing w:after="60" w:line="245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Llaves, duplicados, fallos parciales, acceso y carga real TBD. No estimar capacidad ni continuidad con cifras inventadas.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Siguiente paso y frontera de entrega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Recomendación: validar con un lote Pb y otro Zn, una devolución/confirmación, negociación/aceptación de Met-Mex y tercería excepcional. Registrar decisiones en P01–P10 y precisar NFR con TI. Este documento permite avanzar Architecture conceptual manteniendo TBD; no cerrar diseño técnico por omisión.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No se modifican Source Pack, índice, glosario, fuentes ni repository. Según G2, repository/branch siguen pendientes y readiness no está evaluado; este trabajo no los verifica ni declara listo un prompt machine-consumable. No hubo corrida Blitzy, Tech Spec, AAP, PR ni intervención en configuración. Si Embarques Output evalúa este paquete, el objeto exacto son estas tres v0.1 y sus fuentes enlazadas; no una ejecución técnica.</w:t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  <w:t xml:space="preserve">Fuentes y alcance de la evidencia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G1/G2/G3 son los controles v0.2 vigentes para este trabajo. TR, FL y AG organizan evidencia y pendientes: no son validación de requerimientos. A es transcripción automática no validada; B y D derivan de esa evidencia y no cuentan como corroboraciones independientes. F1–F4 son bocetos/documentos observados, no diseño aprobado. SP es seguimiento, no fuente funcional; V solo gobierna presentación.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Los localizadores TR remiten a sus IDs de hallazgo; A a tiempo continuo; F a pestaña/celda. Las referencias antiguas v0.1 de controles dentro de TR se conservan como lineage y no gobiernan esta v0.1. Prevalecen las aclaraciones humanas registradas en TR/G3 sobre simplificaciones de B/D: tercería final abierta, confirmación con flujo completo y ausencia de topes del sistema.</w:t>
      </w:r>
    </w:p>
    <w:p w:rsidR="00000000" w:rsidDel="00000000" w:rsidP="00000000" w:rsidRDefault="00000000" w:rsidRPr="00000000" w14:paraId="0000003E">
      <w:pPr>
        <w:spacing w:after="20" w:before="0" w:lineRule="auto"/>
        <w:rPr/>
      </w:pPr>
      <w:r w:rsidDel="00000000" w:rsidR="00000000" w:rsidRPr="00000000">
        <w:rPr>
          <w:rtl w:val="0"/>
        </w:rPr>
        <w:t xml:space="preserve">G1 ·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WORK-EMB_Source_Pack_Input_v0.2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" w:before="0" w:lineRule="auto"/>
        <w:rPr/>
      </w:pPr>
      <w:r w:rsidDel="00000000" w:rsidR="00000000" w:rsidRPr="00000000">
        <w:rPr>
          <w:rtl w:val="0"/>
        </w:rPr>
        <w:t xml:space="preserve">G2 ·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EMB_BASELINE_INDEX_v0.2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" w:before="0" w:lineRule="auto"/>
        <w:rPr/>
      </w:pPr>
      <w:r w:rsidDel="00000000" w:rsidR="00000000" w:rsidRPr="00000000">
        <w:rPr>
          <w:rtl w:val="0"/>
        </w:rPr>
        <w:t xml:space="preserve">G3 ·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EMB_Glosario_Controlado_v0.2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" w:before="0" w:lineRule="auto"/>
        <w:rPr/>
      </w:pPr>
      <w:r w:rsidDel="00000000" w:rsidR="00000000" w:rsidRPr="00000000">
        <w:rPr>
          <w:rtl w:val="0"/>
        </w:rPr>
        <w:t xml:space="preserve">TR ·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EMB_Sesion2_Triangulacion_Fuentes_v0.1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" w:before="0" w:lineRule="auto"/>
        <w:rPr/>
      </w:pPr>
      <w:r w:rsidDel="00000000" w:rsidR="00000000" w:rsidRPr="00000000">
        <w:rPr>
          <w:rtl w:val="0"/>
        </w:rPr>
        <w:t xml:space="preserve">FL ·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EMB_Flujo_EndToEnd_Actor_Dato_Autoridad_v0.1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" w:before="0" w:lineRule="auto"/>
        <w:rPr/>
      </w:pPr>
      <w:r w:rsidDel="00000000" w:rsidR="00000000" w:rsidRPr="00000000">
        <w:rPr>
          <w:rtl w:val="0"/>
        </w:rPr>
        <w:t xml:space="preserve">AG ·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EMB_Sesion3_Agenda_Discovery_v0.1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" w:before="0" w:lineRule="auto"/>
        <w:rPr/>
      </w:pPr>
      <w:r w:rsidDel="00000000" w:rsidR="00000000" w:rsidRPr="00000000">
        <w:rPr>
          <w:rtl w:val="0"/>
        </w:rPr>
        <w:t xml:space="preserve">A ·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EMB_Sesion2_Transcripcion_Continua_v0.1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" w:before="0" w:lineRule="auto"/>
        <w:rPr/>
      </w:pPr>
      <w:r w:rsidDel="00000000" w:rsidR="00000000" w:rsidRPr="00000000">
        <w:rPr>
          <w:rtl w:val="0"/>
        </w:rPr>
        <w:t xml:space="preserve">B ·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EMB_Sesion2_Analisis_Independiente_v0.1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" w:before="0" w:lineRule="auto"/>
        <w:rPr/>
      </w:pPr>
      <w:r w:rsidDel="00000000" w:rsidR="00000000" w:rsidRPr="00000000">
        <w:rPr>
          <w:rtl w:val="0"/>
        </w:rPr>
        <w:t xml:space="preserve">D ·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EMB_Sesion2_Delta_vs_Sesion1_v0.1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" w:before="0" w:lineRule="auto"/>
        <w:rPr/>
      </w:pPr>
      <w:r w:rsidDel="00000000" w:rsidR="00000000" w:rsidRPr="00000000">
        <w:rPr>
          <w:rtl w:val="0"/>
        </w:rPr>
        <w:t xml:space="preserve">S1 ·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EMB_Sesion1_Discovery_Primera_aproximacion_v0.1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" w:before="0" w:lineRule="auto"/>
        <w:rPr/>
      </w:pPr>
      <w:r w:rsidDel="00000000" w:rsidR="00000000" w:rsidRPr="00000000">
        <w:rPr>
          <w:rtl w:val="0"/>
        </w:rPr>
        <w:t xml:space="preserve">F1 ·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CAPTURA DE ENSAYES - MUESTRAS OFICIALES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" w:before="0" w:lineRule="auto"/>
        <w:rPr/>
      </w:pPr>
      <w:r w:rsidDel="00000000" w:rsidR="00000000" w:rsidRPr="00000000">
        <w:rPr>
          <w:rtl w:val="0"/>
        </w:rPr>
        <w:t xml:space="preserve">F2 ·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CONSULTA DE ENSAYES - MUESTRAS OFICIALES VENTA MET MEX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" w:before="0" w:lineRule="auto"/>
        <w:rPr/>
      </w:pPr>
      <w:r w:rsidDel="00000000" w:rsidR="00000000" w:rsidRPr="00000000">
        <w:rPr>
          <w:rtl w:val="0"/>
        </w:rPr>
        <w:t xml:space="preserve">F3 ·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CONSULTA DE ENSAYES REVISADOS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" w:before="0" w:lineRule="auto"/>
        <w:rPr/>
      </w:pPr>
      <w:r w:rsidDel="00000000" w:rsidR="00000000" w:rsidRPr="00000000">
        <w:rPr>
          <w:rtl w:val="0"/>
        </w:rPr>
        <w:t xml:space="preserve">F4 ·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ANALISIS DE FORMATO DE INTERCAMBIOS DE ENSAYES CON MMP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" w:before="0" w:lineRule="auto"/>
        <w:rPr/>
      </w:pPr>
      <w:r w:rsidDel="00000000" w:rsidR="00000000" w:rsidRPr="00000000">
        <w:rPr>
          <w:rtl w:val="0"/>
        </w:rPr>
        <w:t xml:space="preserve">V ·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Guía visual para documentos generados con 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" w:before="0" w:lineRule="auto"/>
        <w:rPr/>
      </w:pPr>
      <w:r w:rsidDel="00000000" w:rsidR="00000000" w:rsidRPr="00000000">
        <w:rPr>
          <w:rtl w:val="0"/>
        </w:rPr>
        <w:t xml:space="preserve">SP ·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SPRINT-FPLUS · Embarques · Vivo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Lectura actual de textos y celdas disponibles en Drive. La evidencia de imágenes incrustadas se cita mediante la inspección documentada en TR; no se afirma una nueva inspección visual de esos originales. No se consultó Research externo ni se usaron cifras ilustrativas como parámetros.</w:t>
      </w:r>
    </w:p>
    <w:sectPr>
      <w:headerReference r:id="rId24" w:type="default"/>
      <w:footerReference r:id="rId25" w:type="default"/>
      <w:pgSz w:h="15840" w:w="12240" w:orient="portrait"/>
      <w:pgMar w:bottom="792" w:top="792" w:left="792" w:right="792" w:header="317" w:footer="31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f2933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f2933"/>
        <w:sz w:val="16"/>
        <w:szCs w:val="16"/>
        <w:u w:val="none"/>
        <w:shd w:fill="auto" w:val="clear"/>
        <w:vertAlign w:val="baseline"/>
        <w:rtl w:val="0"/>
      </w:rPr>
      <w:t xml:space="preserve">BORRADOR · NO BASELINE · v0.1     |    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f2933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f2933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f2933"/>
        <w:sz w:val="16"/>
        <w:szCs w:val="16"/>
        <w:u w:val="none"/>
        <w:shd w:fill="auto" w:val="clear"/>
        <w:vertAlign w:val="baseline"/>
        <w:rtl w:val="0"/>
      </w:rPr>
      <w:t xml:space="preserve">EMBARQUES / F-PLUS · INSUMO PRELIMINAR PARA EQUIPO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f2933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00" w:lineRule="auto"/>
    </w:pPr>
    <w:rPr>
      <w:rFonts w:ascii="Arial" w:cs="Arial" w:eastAsia="Arial" w:hAnsi="Arial"/>
      <w:b w:val="1"/>
      <w:bCs w:val="1"/>
      <w:color w:val="173a4e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Rule="auto"/>
    </w:pPr>
    <w:rPr>
      <w:rFonts w:ascii="Arial" w:cs="Arial" w:eastAsia="Arial" w:hAnsi="Arial"/>
      <w:b w:val="1"/>
      <w:bCs w:val="1"/>
      <w:color w:val="2c7a78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120" w:before="200" w:line="240" w:lineRule="auto"/>
    </w:pPr>
    <w:rPr>
      <w:rFonts w:ascii="Arial" w:cs="Arial" w:eastAsia="Arial" w:hAnsi="Arial"/>
      <w:color w:val="173a4e"/>
      <w:sz w:val="46"/>
      <w:szCs w:val="4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spreadsheets/d/1S6-PSoTEEyJh0EhuXa_3CqSLSWlTfImthHR3x9IUpyU/edit" TargetMode="External"/><Relationship Id="rId22" Type="http://schemas.openxmlformats.org/officeDocument/2006/relationships/hyperlink" Target="https://docs.google.com/document/d/160AY5PP1s5pt8dYZhNrR6i7itihQbts8LfnLtpijncE/edit" TargetMode="External"/><Relationship Id="rId21" Type="http://schemas.openxmlformats.org/officeDocument/2006/relationships/hyperlink" Target="https://docs.google.com/spreadsheets/d/1oh-KVeTENxXENX41mfUJCRWb3cPAraUuHE9eH0Se1qY/edit" TargetMode="External"/><Relationship Id="rId24" Type="http://schemas.openxmlformats.org/officeDocument/2006/relationships/header" Target="header1.xml"/><Relationship Id="rId23" Type="http://schemas.openxmlformats.org/officeDocument/2006/relationships/hyperlink" Target="https://docs.google.com/spreadsheets/d/1nVgRruLzfLgIrDXgvYRRNfqMyiwfxNFjsdypwefCk1U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LZQsLl9mxYaB1iWH0kaFLq_XITckixh7zNnjE8BfKyk/edit" TargetMode="External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2O-rQN8b49zzzs0Y85dXx-SYVa-M72EwjueM9plYXtA/edit" TargetMode="External"/><Relationship Id="rId7" Type="http://schemas.openxmlformats.org/officeDocument/2006/relationships/hyperlink" Target="https://docs.google.com/document/d/1qFxGr7hnyv2ZR-qxsDlcIT18WwRRFhd_YN6o8TW7Omw/edit" TargetMode="External"/><Relationship Id="rId8" Type="http://schemas.openxmlformats.org/officeDocument/2006/relationships/hyperlink" Target="https://docs.google.com/document/d/14VIsRCUVYLLgG8zS-PCLxKLmnMUeG54aoddd8EUfHwM/edit" TargetMode="External"/><Relationship Id="rId11" Type="http://schemas.openxmlformats.org/officeDocument/2006/relationships/hyperlink" Target="https://docs.google.com/document/d/1r6g22yUxfYzE9zdpiZFLEKrdl2S6t3HMWOHpvYxRQ8g/edit" TargetMode="External"/><Relationship Id="rId10" Type="http://schemas.openxmlformats.org/officeDocument/2006/relationships/hyperlink" Target="https://docs.google.com/document/d/1h4ZFNXC1CW-Dxxe4R151p9OusZ2JUB0HtPk_SI-DTF4/edit" TargetMode="External"/><Relationship Id="rId13" Type="http://schemas.openxmlformats.org/officeDocument/2006/relationships/hyperlink" Target="https://docs.google.com/document/d/1Ss4qVLZ7yYtimzAHvLpRHnqTD4GnwAOWGTFtFEFKzhQ/edit" TargetMode="External"/><Relationship Id="rId12" Type="http://schemas.openxmlformats.org/officeDocument/2006/relationships/hyperlink" Target="https://docs.google.com/spreadsheets/d/1k37fZazfn43Hd4LVOZRtWUh3ss9EE9tkjRqdZ_OnqY0/edit" TargetMode="External"/><Relationship Id="rId15" Type="http://schemas.openxmlformats.org/officeDocument/2006/relationships/hyperlink" Target="https://docs.google.com/document/d/1xIC8jBqms3J47EpUHw5kBVbDc99l2IBPkvplkx1Qd4E/edit" TargetMode="External"/><Relationship Id="rId14" Type="http://schemas.openxmlformats.org/officeDocument/2006/relationships/hyperlink" Target="https://docs.google.com/document/d/1qhK2R4FKTKtf2BzIIuV8w1Us4Fe_ce2mPZXc8BgniBk/edit" TargetMode="External"/><Relationship Id="rId17" Type="http://schemas.openxmlformats.org/officeDocument/2006/relationships/hyperlink" Target="https://docs.google.com/document/d/18ZyANDm4BWzaJV4doI9gannr9u0Q-arRJWD8zyB8qBY/edit" TargetMode="External"/><Relationship Id="rId16" Type="http://schemas.openxmlformats.org/officeDocument/2006/relationships/hyperlink" Target="https://docs.google.com/document/d/1uIZGPpX818NKA8oOUcpHSboSbU7Kh1Sn2tmL6dvU1Yc/edit" TargetMode="External"/><Relationship Id="rId19" Type="http://schemas.openxmlformats.org/officeDocument/2006/relationships/hyperlink" Target="https://docs.google.com/spreadsheets/d/1awrlSEYa6ofYqndhuJVU0KcHzze_S76-kWWkyF8WwzY/edit" TargetMode="External"/><Relationship Id="rId18" Type="http://schemas.openxmlformats.org/officeDocument/2006/relationships/hyperlink" Target="https://docs.google.com/spreadsheets/d/1QmJLB2Z0cIq16RyYXxmdnoe3MYgvGAGgIiJW9jlUBMU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