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 основных режимов.</w:t>
      </w:r>
    </w:p>
    <w:p>
      <w:pPr>
        <w:pStyle w:val="BodyText"/>
      </w:pPr>
      <w:r>
        <w:t xml:space="preserve">Существующие основные режимы включают режим Fundamental 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Cs/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1"/>
    <w:bookmarkStart w:id="22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1"/>
          <w:numId w:val="1002"/>
        </w:numPr>
        <w:pStyle w:val="Compact"/>
      </w:pPr>
      <w:r>
        <w:t xml:space="preserve">Ознакомиться с редактором emacs.</w:t>
      </w:r>
    </w:p>
    <w:p>
      <w:pPr>
        <w:numPr>
          <w:ilvl w:val="2"/>
          <w:numId w:val="1003"/>
        </w:numPr>
        <w:pStyle w:val="Compact"/>
      </w:pPr>
      <w:r>
        <w:t xml:space="preserve">Выполнить упражнения.</w:t>
      </w:r>
    </w:p>
    <w:p>
      <w:pPr>
        <w:numPr>
          <w:ilvl w:val="3"/>
          <w:numId w:val="1004"/>
        </w:numPr>
        <w:pStyle w:val="Compact"/>
      </w:pPr>
      <w:r>
        <w:t xml:space="preserve">Ответить на контрольные вопросы.</w:t>
      </w:r>
    </w:p>
    <w:bookmarkEnd w:id="22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Открыть emacs.</w:t>
      </w:r>
    </w:p>
    <w:p>
      <w:pPr>
        <w:pStyle w:val="CaptionedFigure"/>
      </w:pPr>
      <w:r>
        <w:drawing>
          <wp:inline>
            <wp:extent cx="4003381" cy="3434763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6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CaptionedFigure"/>
      </w:pPr>
      <w:r>
        <w:drawing>
          <wp:inline>
            <wp:extent cx="3949593" cy="230521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7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0"/>
        </w:numPr>
        <w:pStyle w:val="Compact"/>
      </w:pPr>
      <w:r>
        <w:t xml:space="preserve">#!/bin/bash</w:t>
      </w:r>
    </w:p>
    <w:p>
      <w:pPr>
        <w:numPr>
          <w:ilvl w:val="0"/>
          <w:numId w:val="1000"/>
        </w:numPr>
        <w:pStyle w:val="Compact"/>
      </w:pPr>
      <w:r>
        <w:t xml:space="preserve">HELL=Hello</w:t>
      </w:r>
    </w:p>
    <w:p>
      <w:pPr>
        <w:numPr>
          <w:ilvl w:val="0"/>
          <w:numId w:val="1000"/>
        </w:numPr>
        <w:pStyle w:val="Compact"/>
      </w:pPr>
      <w:r>
        <w:t xml:space="preserve">function hello {</w:t>
      </w:r>
    </w:p>
    <w:p>
      <w:pPr>
        <w:numPr>
          <w:ilvl w:val="0"/>
          <w:numId w:val="1000"/>
        </w:numPr>
        <w:pStyle w:val="Compact"/>
      </w:pPr>
      <w:r>
        <w:t xml:space="preserve">LOCAL HELLO=World</w:t>
      </w:r>
    </w:p>
    <w:p>
      <w:pPr>
        <w:numPr>
          <w:ilvl w:val="0"/>
          <w:numId w:val="1000"/>
        </w:numPr>
        <w:pStyle w:val="Compact"/>
      </w:pPr>
      <w:r>
        <w:t xml:space="preserve">echo $HELLO</w:t>
      </w:r>
    </w:p>
    <w:p>
      <w:pPr>
        <w:numPr>
          <w:ilvl w:val="0"/>
          <w:numId w:val="1000"/>
        </w:numPr>
        <w:pStyle w:val="Compact"/>
      </w:pPr>
      <w:r>
        <w:t xml:space="preserve">}</w:t>
      </w:r>
    </w:p>
    <w:p>
      <w:pPr>
        <w:pStyle w:val="CaptionedFigure"/>
      </w:pPr>
      <w:r>
        <w:drawing>
          <wp:inline>
            <wp:extent cx="2405102" cy="168280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02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8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1"/>
          <w:numId w:val="1009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0"/>
        </w:numPr>
        <w:pStyle w:val="Compact"/>
      </w:pPr>
      <w:r>
        <w:t xml:space="preserve">5.1. Вырезать одной командой целую строку (С-k).</w:t>
      </w:r>
    </w:p>
    <w:p>
      <w:pPr>
        <w:pStyle w:val="CaptionedFigure"/>
      </w:pPr>
      <w:r>
        <w:drawing>
          <wp:inline>
            <wp:extent cx="1690487" cy="92976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7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1467650" cy="105271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CaptionedFigure"/>
      </w:pPr>
      <w:r>
        <w:drawing>
          <wp:inline>
            <wp:extent cx="1429230" cy="1137236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CaptionedFigure"/>
      </w:pPr>
      <w:r>
        <w:drawing>
          <wp:inline>
            <wp:extent cx="2389734" cy="1252497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CaptionedFigure"/>
      </w:pPr>
      <w:r>
        <w:drawing>
          <wp:inline>
            <wp:extent cx="1959428" cy="20209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r>
        <w:drawing>
          <wp:inline>
            <wp:extent cx="1775011" cy="1713539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1690487" cy="1682803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87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CaptionedFigure"/>
      </w:pPr>
      <w:r>
        <w:drawing>
          <wp:inline>
            <wp:extent cx="2013216" cy="2981405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29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numPr>
          <w:ilvl w:val="0"/>
          <w:numId w:val="1010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0"/>
        </w:numPr>
        <w:pStyle w:val="Compact"/>
      </w:pPr>
      <w:r>
        <w:t xml:space="preserve">6.1. Переместите курсор в начало строки (C-a).</w:t>
      </w:r>
    </w:p>
    <w:p>
      <w:pPr>
        <w:pStyle w:val="CaptionedFigure"/>
      </w:pPr>
      <w:r>
        <w:drawing>
          <wp:inline>
            <wp:extent cx="1705855" cy="868295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CaptionedFigure"/>
      </w:pPr>
      <w:r>
        <w:drawing>
          <wp:inline>
            <wp:extent cx="1321653" cy="922084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screen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53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CaptionedFigure"/>
      </w:pPr>
      <w:r>
        <w:drawing>
          <wp:inline>
            <wp:extent cx="2005532" cy="2966036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screen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296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numPr>
          <w:ilvl w:val="0"/>
          <w:numId w:val="1011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0"/>
        </w:numPr>
        <w:pStyle w:val="Compact"/>
      </w:pPr>
      <w:r>
        <w:t xml:space="preserve">7.1. Вывести список активных буферов на экран (C-x C-b).</w:t>
      </w:r>
    </w:p>
    <w:p>
      <w:pPr>
        <w:pStyle w:val="CaptionedFigure"/>
      </w:pPr>
      <w:r>
        <w:drawing>
          <wp:inline>
            <wp:extent cx="4817889" cy="1613647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screen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CaptionedFigure"/>
      </w:pPr>
      <w:r>
        <w:drawing>
          <wp:inline>
            <wp:extent cx="4848625" cy="2620255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screen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7.3. Закройте это окно (C-x 0).</w:t>
      </w:r>
    </w:p>
    <w:p>
      <w:pPr>
        <w:pStyle w:val="CaptionedFigure"/>
      </w:pPr>
      <w:r>
        <w:drawing>
          <wp:inline>
            <wp:extent cx="4887045" cy="2704779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screen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aptionedFigure"/>
      </w:pPr>
      <w:r>
        <w:drawing>
          <wp:inline>
            <wp:extent cx="4794836" cy="2758568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screen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numPr>
          <w:ilvl w:val="0"/>
          <w:numId w:val="1012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0"/>
        </w:numPr>
        <w:pStyle w:val="Compact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(см. рис. 9.1).</w:t>
      </w:r>
    </w:p>
    <w:p>
      <w:pPr>
        <w:pStyle w:val="CaptionedFigure"/>
      </w:pPr>
      <w:r>
        <w:drawing>
          <wp:inline>
            <wp:extent cx="4833257" cy="2804672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screen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CaptionedFigure"/>
      </w:pPr>
      <w:r>
        <w:drawing>
          <wp:inline>
            <wp:extent cx="4840941" cy="2804672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screen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</w:t>
      </w:r>
    </w:p>
    <w:p>
      <w:pPr>
        <w:numPr>
          <w:ilvl w:val="0"/>
          <w:numId w:val="1013"/>
        </w:numPr>
        <w:pStyle w:val="Compact"/>
      </w:pPr>
      <w:r>
        <w:t xml:space="preserve">Режим поиска</w:t>
      </w:r>
    </w:p>
    <w:p>
      <w:pPr>
        <w:numPr>
          <w:ilvl w:val="0"/>
          <w:numId w:val="1000"/>
        </w:numPr>
        <w:pStyle w:val="Compact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CaptionedFigure"/>
      </w:pPr>
      <w:r>
        <w:drawing>
          <wp:inline>
            <wp:extent cx="4833257" cy="1644383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screen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CaptionedFigure"/>
      </w:pPr>
      <w:r>
        <w:drawing>
          <wp:inline>
            <wp:extent cx="4802521" cy="2935300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screen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</w:t>
      </w:r>
    </w:p>
    <w:p>
      <w:pPr>
        <w:pStyle w:val="BodyText"/>
      </w:pPr>
      <w:r>
        <w:t xml:space="preserve">9.4. Испробуйте другой режим поиска, нажав M-s o. Объясните, чем он отличается от обычного режима?</w:t>
      </w:r>
    </w:p>
    <w:p>
      <w:pPr>
        <w:pStyle w:val="CaptionedFigure"/>
      </w:pPr>
      <w:r>
        <w:drawing>
          <wp:inline>
            <wp:extent cx="4910097" cy="2942984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screen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</w:t>
      </w:r>
    </w:p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Emacs.</w:t>
      </w:r>
    </w:p>
    <w:bookmarkEnd w:id="47"/>
    <w:bookmarkStart w:id="4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/ˈiːmæks/ или EMACS (редактор макросов) это семейство текстовых редакторов, которые характеризуются своей расширяемостью. Руководство по наиболее широко используемому варианту, GNU Emacs, описывает его как</w:t>
      </w:r>
      <w:r>
        <w:t xml:space="preserve"> </w:t>
      </w:r>
      <w:r>
        <w:t xml:space="preserve">“</w:t>
      </w:r>
      <w:r>
        <w:t xml:space="preserve">расширяемый, настраиваемый, самодокументируемый редактор отображения в реальном времени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Emacs — действительно не сильно сложный редактор. Но это как раз тот пример, когда освоив минимум, нельзя на этом останавливаться, ибо сила emacs — в доступных библиотеках и дополнительных функциях. Единственный способ добиться максимального результата — это выучить комбинации клавиш, названия функций и сами по себе концепции и функционал.</w:t>
      </w:r>
    </w:p>
    <w:p>
      <w:pPr>
        <w:numPr>
          <w:ilvl w:val="0"/>
          <w:numId w:val="1016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(информатика) — область памяти, используемая для временного хранения данных ввода-вывода.</w:t>
      </w:r>
    </w:p>
    <w:p>
      <w:pPr>
        <w:pStyle w:val="BodyText"/>
      </w:pPr>
      <w:r>
        <w:t xml:space="preserve">Окно - область экрана, в которой отображается буфер.</w:t>
      </w:r>
    </w:p>
    <w:p>
      <w:pPr>
        <w:numPr>
          <w:ilvl w:val="0"/>
          <w:numId w:val="101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Scratch и Messages.</w:t>
      </w:r>
    </w:p>
    <w:p>
      <w:pPr>
        <w:numPr>
          <w:ilvl w:val="0"/>
          <w:numId w:val="101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 + shift +  и ctrl + c + ctrl + shift +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 + x + 2</w:t>
      </w:r>
    </w:p>
    <w:p>
      <w:pPr>
        <w:numPr>
          <w:ilvl w:val="0"/>
          <w:numId w:val="1020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Скажу честно, vi мне понравился больше как раз таки из-за удобства в использовании.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Гнатюк Анастасия Станиславовна</dc:creator>
  <dc:language>ru-Ru</dc:language>
  <cp:keywords/>
  <dcterms:created xsi:type="dcterms:W3CDTF">2022-05-20T18:23:51Z</dcterms:created>
  <dcterms:modified xsi:type="dcterms:W3CDTF">2022-05-20T18:23:51Z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emacs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