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Backup and Retention Policy</w:t>
      </w:r>
    </w:p>
    <w:p>
      <w:pPr/>
      <w:r>
        <w:t>All production databases are backed up nightly and retained for 30 days.</w:t>
      </w:r>
    </w:p>
    <w:p>
      <w:pPr>
        <w:pStyle w:val="Heading2"/>
      </w:pPr>
      <w:r>
        <w:t>Restore Procedure</w:t>
      </w:r>
    </w:p>
    <w:p>
      <w:pPr/>
      <w:r>
        <w:t>To restore, open a P1 incident, then use the point-in-time restore runbook. Restores must be validated in staging before production cutover.</w:t>
      </w:r>
    </w:p>
    <w:p>
      <w:pPr>
        <w:pStyle w:val="Heading2"/>
      </w:pPr>
      <w:r>
        <w:t>Retention</w:t>
      </w:r>
    </w:p>
    <w:p>
      <w:pPr/>
      <w:r>
        <w:t>Financial records are retained for 7 years. Personal data is deleted within 90 days of an approved erasure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Backup and Retention Policy</dc:title>
  <dc:subject/>
  <dc:creator>IT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