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A277" w14:textId="1D435B66" w:rsidR="00D33D9D" w:rsidRPr="00D33D9D" w:rsidRDefault="007E22C7" w:rsidP="007E22C7">
      <w:pPr>
        <w:pStyle w:val="Title"/>
        <w:jc w:val="center"/>
      </w:pPr>
      <w:r>
        <w:t>London Water</w:t>
      </w:r>
    </w:p>
    <w:p w14:paraId="47D470CE" w14:textId="5FC5484E" w:rsidR="00D33D9D" w:rsidRDefault="008B1424" w:rsidP="00D33D9D">
      <w:pPr>
        <w:pStyle w:val="Heading2"/>
      </w:pPr>
      <w:r>
        <w:t>Problem at Hand</w:t>
      </w:r>
    </w:p>
    <w:p w14:paraId="2E6111C4" w14:textId="484EDEB1" w:rsidR="006D4FDA" w:rsidRDefault="00D8660A" w:rsidP="000D277E">
      <w:pPr>
        <w:spacing w:after="240"/>
      </w:pPr>
      <w:r>
        <w:t>The water management system for London, Ontario has gone through multiple administrative and regulatory changes over the last few decades, causing increases in expenses for purely bureaucratic purposes – though in the case of the regulatory changes these expenses are welcomed for public safety. These changes, though, are in addition to the natural expense</w:t>
      </w:r>
      <w:r w:rsidR="006D4FDA">
        <w:t xml:space="preserve">s </w:t>
      </w:r>
      <w:r>
        <w:t xml:space="preserve">that arise with a city that has seen a drastic increase in growth over the years and has aging pipelines that </w:t>
      </w:r>
      <w:r w:rsidR="006D4FDA">
        <w:t>need to be planned for replacement in the coming decades</w:t>
      </w:r>
      <w:r>
        <w:t xml:space="preserve">. Add that </w:t>
      </w:r>
      <w:r w:rsidR="006D4FDA">
        <w:t xml:space="preserve">to </w:t>
      </w:r>
      <w:r>
        <w:t>a pric</w:t>
      </w:r>
      <w:r w:rsidR="006D4FDA">
        <w:t>ing structure that hasn’t been reviewed in some time and London Water</w:t>
      </w:r>
      <w:r w:rsidR="00FD233E">
        <w:t>’s billing method</w:t>
      </w:r>
      <w:r w:rsidR="006D4FDA">
        <w:t xml:space="preserve"> is </w:t>
      </w:r>
      <w:r w:rsidR="00FD233E">
        <w:t>due for some adjustments</w:t>
      </w:r>
      <w:r w:rsidR="006D4FDA">
        <w:t>. The business is not sustainable as is; the pricing structure needs to be adjusted to ensure future financial stability that accounts for needed upgrades and expansions on the water system</w:t>
      </w:r>
      <w:r w:rsidR="00102094">
        <w:t>, while also encouraging reduced water usage both for environmental reasons and to help reduce the strain on the water system</w:t>
      </w:r>
      <w:r w:rsidR="006D4FDA">
        <w:t xml:space="preserve">. </w:t>
      </w:r>
    </w:p>
    <w:p w14:paraId="26AC996E" w14:textId="2638FC1E" w:rsidR="003236C1" w:rsidRDefault="006D4FDA" w:rsidP="000D277E">
      <w:pPr>
        <w:spacing w:after="240"/>
      </w:pPr>
      <w:r>
        <w:t>However, it is not as easy as simply increasing rates across the board. There are three main categories of water use: water intake, wastewater processing, and stormwater management. The first</w:t>
      </w:r>
      <w:r w:rsidR="00FD233E">
        <w:t>, and least expensive to manage,</w:t>
      </w:r>
      <w:r>
        <w:t xml:space="preserve"> is easy to account for using water meters. However, there is nuance </w:t>
      </w:r>
      <w:r w:rsidR="00FD233E">
        <w:t>to the last two – which also happen to be the most expensive to manage. Wastewater processing is not as easy as “water in equals water out”. Rather, there are multiple businesses, providing economic value to the city, that use water in their product</w:t>
      </w:r>
      <w:r w:rsidR="00102094">
        <w:t>. These include companies like</w:t>
      </w:r>
      <w:r w:rsidR="00FD233E">
        <w:t xml:space="preserve"> </w:t>
      </w:r>
      <w:r w:rsidR="00102094">
        <w:t>breweries</w:t>
      </w:r>
      <w:r w:rsidR="00FD233E">
        <w:t xml:space="preserve">, so water intake is </w:t>
      </w:r>
      <w:r w:rsidR="00102094">
        <w:t>vastly</w:t>
      </w:r>
      <w:r w:rsidR="00FD233E">
        <w:t xml:space="preserve"> higher than their wastewater production. </w:t>
      </w:r>
      <w:r w:rsidR="00102094">
        <w:t xml:space="preserve">Additionally, there are concerns around the equitability of the stormwater billing structure due to the limitations of the current system. </w:t>
      </w:r>
    </w:p>
    <w:p w14:paraId="5A694593" w14:textId="30EB5DA7" w:rsidR="008B1424" w:rsidRDefault="008B1424" w:rsidP="008B1424">
      <w:pPr>
        <w:pStyle w:val="Heading2"/>
      </w:pPr>
      <w:r>
        <w:t>Analysis Summary</w:t>
      </w:r>
    </w:p>
    <w:p w14:paraId="1E861223" w14:textId="77777777" w:rsidR="00AF0B0F" w:rsidRDefault="009719EE" w:rsidP="000D277E">
      <w:pPr>
        <w:spacing w:after="240"/>
      </w:pPr>
      <w:r>
        <w:t xml:space="preserve">The existing water rate structure, shown in Exhibit 1, differentiates rates between residential customers (R1-R3) and business customers (industrial, commercial, and institutional – ICI1-ICI3). </w:t>
      </w:r>
      <w:r w:rsidR="00AF0B0F">
        <w:t xml:space="preserve">Using this payment structure, with the exception of ICI1 which is an extreme outlier, businesses that are using the same amount of water as residential customers are paying less per cubic meter of water non-business customers. While the likely intent of reduced rates for businesses is to support industries that rely on water for their final product, such as breweries, a business using the same amount of water as a residential customer is most likely not using water in their final product. As such, residential customers are directly subsidizing the water expenses for businesses in the area. </w:t>
      </w:r>
    </w:p>
    <w:p w14:paraId="311B285B" w14:textId="77777777" w:rsidR="00054CF8" w:rsidRDefault="00AF0B0F" w:rsidP="000D277E">
      <w:pPr>
        <w:spacing w:after="240"/>
      </w:pPr>
      <w:r>
        <w:t>Exhibit 2, though, shows the proposed new water rate which does not differentiate between business and residential customers. Rather, the new rate breaks metered water usage into eight group</w:t>
      </w:r>
      <w:r w:rsidR="00054CF8">
        <w:t xml:space="preserve">s with unique rates intended to meet particular goals based on the amount of water being used. The first two groups, Block 1 and 2, are for customers using the least amount of water and are intended to provide consumers with a built-in discount for reducing their water consumption. From there, Block 3 and 4 increase rates to account for the added strain on the water system by residential and business customers for whom water intake is assumed to be similar to wastewater output. Starting with group 5 and beyond, the cubic meter rate reduces and continues to reduce to </w:t>
      </w:r>
      <w:r w:rsidR="00054CF8">
        <w:lastRenderedPageBreak/>
        <w:t>both account for and encourage the development of businesses that use water for their sales product.</w:t>
      </w:r>
    </w:p>
    <w:p w14:paraId="139EFCCF" w14:textId="627DEAB0" w:rsidR="008B1424" w:rsidRDefault="00751BF1" w:rsidP="000D277E">
      <w:pPr>
        <w:spacing w:after="240"/>
      </w:pPr>
      <w:r>
        <w:t xml:space="preserve">For the residential side, customers who are on the higher end of water usage will see an increase in their water expenses. However, that is intentional and meant to encourage a reduction in water use over time. As seen in Exhibit </w:t>
      </w:r>
      <w:r w:rsidR="008A5BD9">
        <w:t>3</w:t>
      </w:r>
      <w:r>
        <w:t>, the prospective of metered residential water usage rates, under the new billing system the average residential customer would be included in Block 3 for 2011-2013, while the former system had the average customer in RS1 for 2011 and 2012, then RS2 for 2013. With the new billing system in place, the total metered fees for</w:t>
      </w:r>
      <w:r w:rsidR="003B273E">
        <w:t xml:space="preserve"> residential customers would increase, bringing in an additional 6-8 million in revenue provided water usage doesn’t change.  </w:t>
      </w:r>
      <w:r>
        <w:t xml:space="preserve">   </w:t>
      </w:r>
    </w:p>
    <w:p w14:paraId="555553F6" w14:textId="55094142" w:rsidR="008B1424" w:rsidRDefault="008B1424" w:rsidP="008B1424">
      <w:pPr>
        <w:pStyle w:val="Heading2"/>
      </w:pPr>
      <w:proofErr w:type="spellStart"/>
      <w:r>
        <w:t>Re</w:t>
      </w:r>
      <w:proofErr w:type="spellEnd"/>
      <w:r>
        <w:t>commended Next Steps</w:t>
      </w:r>
    </w:p>
    <w:p w14:paraId="6F9C5FAF" w14:textId="77777777" w:rsidR="008A5BD9" w:rsidRDefault="003B273E" w:rsidP="000D277E">
      <w:pPr>
        <w:spacing w:after="240"/>
      </w:pPr>
      <w:r>
        <w:t>By adjusting the metered water rates to no longer differentiate between residential and business customers, London Water will be able to both bring in additional revenue and provide a more equitable experience to its customer base while still adjusting for business enterprises that use water as part of their final product. However, while a new customer billing layout is being introduced alongside the new metered fee system, the flat rate fees are as yet unchanged.</w:t>
      </w:r>
      <w:r w:rsidR="008A5BD9">
        <w:t xml:space="preserve"> </w:t>
      </w:r>
      <w:r w:rsidR="000D277E">
        <w:t xml:space="preserve">The new billing system for metered charges directly addresses water intake and wastewater processing, however the inequity in expenses related to stormwater processing still needs to be addressed. </w:t>
      </w:r>
      <w:r w:rsidR="008A5BD9">
        <w:t xml:space="preserve">This is the next step that must be taken </w:t>
      </w:r>
      <w:r w:rsidR="008A5BD9">
        <w:t>in the review of</w:t>
      </w:r>
      <w:r w:rsidR="008A5BD9">
        <w:t xml:space="preserve"> London Water</w:t>
      </w:r>
      <w:r w:rsidR="008A5BD9">
        <w:t>’s billing system.</w:t>
      </w:r>
    </w:p>
    <w:p w14:paraId="548A1BD5" w14:textId="2812318D" w:rsidR="008A5BD9" w:rsidRDefault="008A5BD9" w:rsidP="000D277E">
      <w:pPr>
        <w:spacing w:after="240"/>
      </w:pPr>
      <w:r>
        <w:t>Under the current system, as seen in exhibit 4, the smallest cutoff for stormwater charges is 0.4 hectares, or 1 acre. As London, Ontario is a fairly dense urban area, the average residential lot is well below that cutoff.</w:t>
      </w:r>
      <w:r w:rsidR="00821D66">
        <w:t xml:space="preserve"> For example, exhibit 5 demonstrates how a single institutional business customer uses over 60 times the land mass of 8 residential customers (shown in the circled oval), yet the group of residential customers pay more the same amount for stormwater runoff than the institutional customer. In full transparency, the business customers are underpaying for their stormwater fees. By adding nuance to the billing structure to account for variable lot sizes, London Water will be able to build more equity into their billing structure while also recouping lost expenses for processing stormwater runoff for businesses that use larger areas of land. This is the next London Water needs to take in building a sustainable billing system.    </w:t>
      </w:r>
      <w:r>
        <w:t xml:space="preserve">  </w:t>
      </w:r>
    </w:p>
    <w:p w14:paraId="08062DE8" w14:textId="373059FF" w:rsidR="008B1424" w:rsidRDefault="00515DC4" w:rsidP="007E22C7">
      <w:pPr>
        <w:pStyle w:val="Heading3"/>
      </w:pPr>
      <w:r w:rsidRPr="00E722F3">
        <w:lastRenderedPageBreak/>
        <w:t xml:space="preserve">Exhibit </w:t>
      </w:r>
      <w:r>
        <w:t>1</w:t>
      </w:r>
      <w:r w:rsidRPr="00E722F3">
        <w:t xml:space="preserve"> – </w:t>
      </w:r>
      <w:r w:rsidR="00102094">
        <w:t>London Water’s Current Water Rate Structure</w:t>
      </w:r>
    </w:p>
    <w:p w14:paraId="0915353B" w14:textId="77777777" w:rsidR="009719EE" w:rsidRDefault="00102094" w:rsidP="007E22C7">
      <w:pPr>
        <w:pStyle w:val="Heading3"/>
      </w:pPr>
      <w:r>
        <w:rPr>
          <w:noProof/>
        </w:rPr>
        <w:drawing>
          <wp:inline distT="0" distB="0" distL="0" distR="0" wp14:anchorId="7BE82B52" wp14:editId="5C199261">
            <wp:extent cx="5943600" cy="3378835"/>
            <wp:effectExtent l="0" t="0" r="0" b="0"/>
            <wp:docPr id="165080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02573" name="Picture 1650802573"/>
                    <pic:cNvPicPr/>
                  </pic:nvPicPr>
                  <pic:blipFill>
                    <a:blip r:embed="rId7">
                      <a:extLst>
                        <a:ext uri="{28A0092B-C50C-407E-A947-70E740481C1C}">
                          <a14:useLocalDpi xmlns:a14="http://schemas.microsoft.com/office/drawing/2010/main" val="0"/>
                        </a:ext>
                      </a:extLst>
                    </a:blip>
                    <a:stretch>
                      <a:fillRect/>
                    </a:stretch>
                  </pic:blipFill>
                  <pic:spPr>
                    <a:xfrm>
                      <a:off x="0" y="0"/>
                      <a:ext cx="5943600" cy="3378835"/>
                    </a:xfrm>
                    <a:prstGeom prst="rect">
                      <a:avLst/>
                    </a:prstGeom>
                  </pic:spPr>
                </pic:pic>
              </a:graphicData>
            </a:graphic>
          </wp:inline>
        </w:drawing>
      </w:r>
    </w:p>
    <w:p w14:paraId="771BB446" w14:textId="77777777" w:rsidR="009719EE" w:rsidRDefault="009719EE" w:rsidP="007E22C7">
      <w:pPr>
        <w:pStyle w:val="Heading3"/>
      </w:pPr>
    </w:p>
    <w:p w14:paraId="5A086E19" w14:textId="0DA7BD74" w:rsidR="007E22C7" w:rsidRDefault="007E22C7" w:rsidP="007E22C7">
      <w:pPr>
        <w:pStyle w:val="Heading3"/>
      </w:pPr>
      <w:r w:rsidRPr="00E722F3">
        <w:t xml:space="preserve">Exhibit </w:t>
      </w:r>
      <w:r>
        <w:t>2</w:t>
      </w:r>
      <w:r w:rsidRPr="00E722F3">
        <w:t xml:space="preserve"> – </w:t>
      </w:r>
      <w:r w:rsidR="00102094">
        <w:t>London Water’s New Water Rate Structure</w:t>
      </w:r>
    </w:p>
    <w:p w14:paraId="10749990" w14:textId="583855B4" w:rsidR="007E22C7" w:rsidRPr="007E22C7" w:rsidRDefault="00102094" w:rsidP="007E22C7">
      <w:r>
        <w:rPr>
          <w:noProof/>
        </w:rPr>
        <w:drawing>
          <wp:inline distT="0" distB="0" distL="0" distR="0" wp14:anchorId="7C67FF13" wp14:editId="02001528">
            <wp:extent cx="5943600" cy="3510915"/>
            <wp:effectExtent l="0" t="0" r="0" b="0"/>
            <wp:docPr id="1422673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73223" name="Picture 1422673223"/>
                    <pic:cNvPicPr/>
                  </pic:nvPicPr>
                  <pic:blipFill>
                    <a:blip r:embed="rId8">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inline>
        </w:drawing>
      </w:r>
    </w:p>
    <w:p w14:paraId="673472CC" w14:textId="77777777" w:rsidR="00200796" w:rsidRDefault="00200796" w:rsidP="007E22C7">
      <w:pPr>
        <w:pStyle w:val="Heading3"/>
      </w:pPr>
    </w:p>
    <w:p w14:paraId="3BAC0BE1" w14:textId="77777777" w:rsidR="00200796" w:rsidRDefault="00200796" w:rsidP="007E22C7">
      <w:pPr>
        <w:pStyle w:val="Heading3"/>
      </w:pPr>
    </w:p>
    <w:p w14:paraId="6433F30A" w14:textId="333D7B7E" w:rsidR="007E22C7" w:rsidRDefault="007E22C7" w:rsidP="007E22C7">
      <w:pPr>
        <w:pStyle w:val="Heading3"/>
      </w:pPr>
      <w:r w:rsidRPr="00E722F3">
        <w:t xml:space="preserve">Exhibit </w:t>
      </w:r>
      <w:r>
        <w:t>3</w:t>
      </w:r>
      <w:r w:rsidRPr="00E722F3">
        <w:t xml:space="preserve"> – </w:t>
      </w:r>
      <w:r w:rsidR="00200796">
        <w:t xml:space="preserve">Prospective of </w:t>
      </w:r>
      <w:r w:rsidR="00751BF1">
        <w:t xml:space="preserve">Metered </w:t>
      </w:r>
      <w:r w:rsidR="00200796">
        <w:t>Residential Water Usage Rates</w:t>
      </w:r>
    </w:p>
    <w:tbl>
      <w:tblPr>
        <w:tblW w:w="5000" w:type="pct"/>
        <w:tblLook w:val="04A0" w:firstRow="1" w:lastRow="0" w:firstColumn="1" w:lastColumn="0" w:noHBand="0" w:noVBand="1"/>
      </w:tblPr>
      <w:tblGrid>
        <w:gridCol w:w="2523"/>
        <w:gridCol w:w="773"/>
        <w:gridCol w:w="1791"/>
        <w:gridCol w:w="751"/>
        <w:gridCol w:w="1235"/>
        <w:gridCol w:w="752"/>
        <w:gridCol w:w="1525"/>
      </w:tblGrid>
      <w:tr w:rsidR="00DC38CB" w:rsidRPr="00DC38CB" w14:paraId="2C474CFB" w14:textId="77777777" w:rsidTr="00DC38CB">
        <w:trPr>
          <w:trHeight w:val="320"/>
        </w:trPr>
        <w:tc>
          <w:tcPr>
            <w:tcW w:w="252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B93B011" w14:textId="77777777" w:rsidR="00DC38CB" w:rsidRPr="00DC38CB" w:rsidRDefault="00DC38CB" w:rsidP="00DC38CB">
            <w:pPr>
              <w:rPr>
                <w:rFonts w:ascii="Calibri" w:hAnsi="Calibri" w:cs="Calibri"/>
                <w:color w:val="000000"/>
                <w:sz w:val="18"/>
                <w:szCs w:val="18"/>
              </w:rPr>
            </w:pPr>
            <w:r w:rsidRPr="00DC38CB">
              <w:rPr>
                <w:rFonts w:ascii="Calibri" w:hAnsi="Calibri" w:cs="Calibri"/>
                <w:color w:val="000000"/>
                <w:sz w:val="18"/>
                <w:szCs w:val="18"/>
              </w:rPr>
              <w:t> </w:t>
            </w:r>
          </w:p>
        </w:tc>
        <w:tc>
          <w:tcPr>
            <w:tcW w:w="2564"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1BD668F9" w14:textId="77777777" w:rsidR="00DC38CB" w:rsidRPr="00DC38CB" w:rsidRDefault="00DC38CB" w:rsidP="00DC38CB">
            <w:pPr>
              <w:jc w:val="center"/>
              <w:rPr>
                <w:rFonts w:ascii="Calibri" w:hAnsi="Calibri" w:cs="Calibri"/>
                <w:b/>
                <w:bCs/>
                <w:color w:val="000000"/>
                <w:sz w:val="18"/>
                <w:szCs w:val="18"/>
              </w:rPr>
            </w:pPr>
            <w:r w:rsidRPr="00DC38CB">
              <w:rPr>
                <w:rFonts w:ascii="Calibri" w:hAnsi="Calibri" w:cs="Calibri"/>
                <w:b/>
                <w:bCs/>
                <w:color w:val="000000"/>
                <w:sz w:val="18"/>
                <w:szCs w:val="18"/>
              </w:rPr>
              <w:t>2011</w:t>
            </w:r>
          </w:p>
        </w:tc>
        <w:tc>
          <w:tcPr>
            <w:tcW w:w="1986"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0B85E869" w14:textId="77777777" w:rsidR="00DC38CB" w:rsidRPr="00DC38CB" w:rsidRDefault="00DC38CB" w:rsidP="00DC38CB">
            <w:pPr>
              <w:jc w:val="center"/>
              <w:rPr>
                <w:rFonts w:ascii="Calibri" w:hAnsi="Calibri" w:cs="Calibri"/>
                <w:b/>
                <w:bCs/>
                <w:color w:val="000000"/>
                <w:sz w:val="18"/>
                <w:szCs w:val="18"/>
              </w:rPr>
            </w:pPr>
            <w:r w:rsidRPr="00DC38CB">
              <w:rPr>
                <w:rFonts w:ascii="Calibri" w:hAnsi="Calibri" w:cs="Calibri"/>
                <w:b/>
                <w:bCs/>
                <w:color w:val="000000"/>
                <w:sz w:val="18"/>
                <w:szCs w:val="18"/>
              </w:rPr>
              <w:t>2012</w:t>
            </w:r>
          </w:p>
        </w:tc>
        <w:tc>
          <w:tcPr>
            <w:tcW w:w="2277"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2B31B05B" w14:textId="77777777" w:rsidR="00DC38CB" w:rsidRPr="00DC38CB" w:rsidRDefault="00DC38CB" w:rsidP="00DC38CB">
            <w:pPr>
              <w:jc w:val="center"/>
              <w:rPr>
                <w:rFonts w:ascii="Calibri" w:hAnsi="Calibri" w:cs="Calibri"/>
                <w:b/>
                <w:bCs/>
                <w:color w:val="000000"/>
                <w:sz w:val="18"/>
                <w:szCs w:val="18"/>
              </w:rPr>
            </w:pPr>
            <w:r w:rsidRPr="00DC38CB">
              <w:rPr>
                <w:rFonts w:ascii="Calibri" w:hAnsi="Calibri" w:cs="Calibri"/>
                <w:b/>
                <w:bCs/>
                <w:color w:val="000000"/>
                <w:sz w:val="18"/>
                <w:szCs w:val="18"/>
              </w:rPr>
              <w:t>2013</w:t>
            </w:r>
          </w:p>
        </w:tc>
      </w:tr>
      <w:tr w:rsidR="00DC38CB" w:rsidRPr="00DC38CB" w14:paraId="3F9D57CA" w14:textId="77777777" w:rsidTr="00DC38CB">
        <w:trPr>
          <w:trHeight w:val="320"/>
        </w:trPr>
        <w:tc>
          <w:tcPr>
            <w:tcW w:w="2523" w:type="dxa"/>
            <w:tcBorders>
              <w:top w:val="nil"/>
              <w:left w:val="single" w:sz="4" w:space="0" w:color="auto"/>
              <w:bottom w:val="single" w:sz="4" w:space="0" w:color="auto"/>
              <w:right w:val="single" w:sz="4" w:space="0" w:color="auto"/>
            </w:tcBorders>
            <w:shd w:val="clear" w:color="auto" w:fill="auto"/>
            <w:noWrap/>
            <w:vAlign w:val="bottom"/>
            <w:hideMark/>
          </w:tcPr>
          <w:p w14:paraId="4660FC52" w14:textId="77777777" w:rsidR="00DC38CB" w:rsidRPr="00DC38CB" w:rsidRDefault="00DC38CB" w:rsidP="00DC38CB">
            <w:pPr>
              <w:rPr>
                <w:rFonts w:ascii="Calibri" w:hAnsi="Calibri" w:cs="Calibri"/>
                <w:color w:val="000000"/>
                <w:sz w:val="18"/>
                <w:szCs w:val="18"/>
              </w:rPr>
            </w:pPr>
            <w:r w:rsidRPr="00DC38CB">
              <w:rPr>
                <w:rFonts w:ascii="Calibri" w:hAnsi="Calibri" w:cs="Calibri"/>
                <w:color w:val="000000"/>
                <w:sz w:val="18"/>
                <w:szCs w:val="18"/>
              </w:rPr>
              <w:t>Total Residential Water Usage for the Year</w:t>
            </w:r>
          </w:p>
        </w:tc>
        <w:tc>
          <w:tcPr>
            <w:tcW w:w="256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1BCA60A" w14:textId="4044B4A7" w:rsidR="00DC38CB" w:rsidRPr="00DC38CB" w:rsidRDefault="00DC38CB" w:rsidP="00DC38CB">
            <w:pPr>
              <w:jc w:val="center"/>
              <w:rPr>
                <w:rFonts w:ascii="Calibri" w:hAnsi="Calibri" w:cs="Calibri"/>
                <w:color w:val="000000"/>
                <w:sz w:val="18"/>
                <w:szCs w:val="18"/>
                <w:vertAlign w:val="superscript"/>
              </w:rPr>
            </w:pPr>
            <w:r w:rsidRPr="00DC38CB">
              <w:rPr>
                <w:rFonts w:ascii="Calibri" w:hAnsi="Calibri" w:cs="Calibri"/>
                <w:color w:val="000000"/>
                <w:sz w:val="18"/>
                <w:szCs w:val="18"/>
              </w:rPr>
              <w:t xml:space="preserve">                                                                18,527,265 </w:t>
            </w:r>
            <w:r w:rsidR="00751BF1">
              <w:rPr>
                <w:rFonts w:ascii="Calibri" w:hAnsi="Calibri" w:cs="Calibri"/>
                <w:color w:val="000000"/>
                <w:sz w:val="18"/>
                <w:szCs w:val="18"/>
              </w:rPr>
              <w:t>m</w:t>
            </w:r>
            <w:r w:rsidR="00751BF1">
              <w:rPr>
                <w:rFonts w:ascii="Calibri" w:hAnsi="Calibri" w:cs="Calibri"/>
                <w:color w:val="000000"/>
                <w:sz w:val="18"/>
                <w:szCs w:val="18"/>
                <w:vertAlign w:val="superscript"/>
              </w:rPr>
              <w:t>3</w:t>
            </w:r>
          </w:p>
        </w:tc>
        <w:tc>
          <w:tcPr>
            <w:tcW w:w="198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D3A95B8" w14:textId="012AC0DF"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18,488,769</w:t>
            </w:r>
            <w:r w:rsidR="00751BF1" w:rsidRPr="00DC38CB">
              <w:rPr>
                <w:rFonts w:ascii="Calibri" w:hAnsi="Calibri" w:cs="Calibri"/>
                <w:color w:val="000000"/>
                <w:sz w:val="18"/>
                <w:szCs w:val="18"/>
              </w:rPr>
              <w:t xml:space="preserve"> </w:t>
            </w:r>
            <w:r w:rsidR="00751BF1">
              <w:rPr>
                <w:rFonts w:ascii="Calibri" w:hAnsi="Calibri" w:cs="Calibri"/>
                <w:color w:val="000000"/>
                <w:sz w:val="18"/>
                <w:szCs w:val="18"/>
              </w:rPr>
              <w:t>m</w:t>
            </w:r>
            <w:r w:rsidR="00751BF1">
              <w:rPr>
                <w:rFonts w:ascii="Calibri" w:hAnsi="Calibri" w:cs="Calibri"/>
                <w:color w:val="000000"/>
                <w:sz w:val="18"/>
                <w:szCs w:val="18"/>
                <w:vertAlign w:val="superscript"/>
              </w:rPr>
              <w:t>3</w:t>
            </w:r>
            <w:r w:rsidRPr="00DC38CB">
              <w:rPr>
                <w:rFonts w:ascii="Calibri" w:hAnsi="Calibri" w:cs="Calibri"/>
                <w:color w:val="000000"/>
                <w:sz w:val="18"/>
                <w:szCs w:val="18"/>
              </w:rPr>
              <w:t xml:space="preserve"> </w:t>
            </w:r>
          </w:p>
        </w:tc>
        <w:tc>
          <w:tcPr>
            <w:tcW w:w="227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B8E5D48" w14:textId="6035D74B"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23,584,012</w:t>
            </w:r>
            <w:r w:rsidR="00751BF1" w:rsidRPr="00DC38CB">
              <w:rPr>
                <w:rFonts w:ascii="Calibri" w:hAnsi="Calibri" w:cs="Calibri"/>
                <w:color w:val="000000"/>
                <w:sz w:val="18"/>
                <w:szCs w:val="18"/>
              </w:rPr>
              <w:t xml:space="preserve"> </w:t>
            </w:r>
            <w:r w:rsidR="00751BF1">
              <w:rPr>
                <w:rFonts w:ascii="Calibri" w:hAnsi="Calibri" w:cs="Calibri"/>
                <w:color w:val="000000"/>
                <w:sz w:val="18"/>
                <w:szCs w:val="18"/>
              </w:rPr>
              <w:t>m</w:t>
            </w:r>
            <w:r w:rsidR="00751BF1">
              <w:rPr>
                <w:rFonts w:ascii="Calibri" w:hAnsi="Calibri" w:cs="Calibri"/>
                <w:color w:val="000000"/>
                <w:sz w:val="18"/>
                <w:szCs w:val="18"/>
                <w:vertAlign w:val="superscript"/>
              </w:rPr>
              <w:t>3</w:t>
            </w:r>
            <w:r w:rsidRPr="00DC38CB">
              <w:rPr>
                <w:rFonts w:ascii="Calibri" w:hAnsi="Calibri" w:cs="Calibri"/>
                <w:color w:val="000000"/>
                <w:sz w:val="18"/>
                <w:szCs w:val="18"/>
              </w:rPr>
              <w:t xml:space="preserve"> </w:t>
            </w:r>
          </w:p>
        </w:tc>
      </w:tr>
      <w:tr w:rsidR="00DC38CB" w:rsidRPr="00DC38CB" w14:paraId="296B2A8F" w14:textId="77777777" w:rsidTr="00DC38CB">
        <w:trPr>
          <w:trHeight w:val="320"/>
        </w:trPr>
        <w:tc>
          <w:tcPr>
            <w:tcW w:w="2523" w:type="dxa"/>
            <w:tcBorders>
              <w:top w:val="nil"/>
              <w:left w:val="single" w:sz="4" w:space="0" w:color="auto"/>
              <w:bottom w:val="nil"/>
              <w:right w:val="single" w:sz="4" w:space="0" w:color="auto"/>
            </w:tcBorders>
            <w:shd w:val="clear" w:color="auto" w:fill="auto"/>
            <w:noWrap/>
            <w:vAlign w:val="bottom"/>
            <w:hideMark/>
          </w:tcPr>
          <w:p w14:paraId="123DC8E9" w14:textId="77777777" w:rsidR="00DC38CB" w:rsidRPr="00DC38CB" w:rsidRDefault="00DC38CB" w:rsidP="00DC38CB">
            <w:pPr>
              <w:rPr>
                <w:rFonts w:ascii="Calibri" w:hAnsi="Calibri" w:cs="Calibri"/>
                <w:color w:val="000000"/>
                <w:sz w:val="18"/>
                <w:szCs w:val="18"/>
              </w:rPr>
            </w:pPr>
            <w:r w:rsidRPr="00DC38CB">
              <w:rPr>
                <w:rFonts w:ascii="Calibri" w:hAnsi="Calibri" w:cs="Calibri"/>
                <w:color w:val="000000"/>
                <w:sz w:val="18"/>
                <w:szCs w:val="18"/>
              </w:rPr>
              <w:t>Total Number of Residential Customers</w:t>
            </w:r>
          </w:p>
        </w:tc>
        <w:tc>
          <w:tcPr>
            <w:tcW w:w="256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7515507" w14:textId="77777777"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99,641 </w:t>
            </w:r>
          </w:p>
        </w:tc>
        <w:tc>
          <w:tcPr>
            <w:tcW w:w="198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637EB33" w14:textId="77777777"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100,801 </w:t>
            </w:r>
          </w:p>
        </w:tc>
        <w:tc>
          <w:tcPr>
            <w:tcW w:w="227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A46CE75" w14:textId="77777777"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102,421 </w:t>
            </w:r>
          </w:p>
        </w:tc>
      </w:tr>
      <w:tr w:rsidR="00DC38CB" w:rsidRPr="00DC38CB" w14:paraId="0D4FBEB2" w14:textId="77777777" w:rsidTr="00DC38CB">
        <w:trPr>
          <w:trHeight w:val="340"/>
        </w:trPr>
        <w:tc>
          <w:tcPr>
            <w:tcW w:w="2523"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F4C7171" w14:textId="77777777" w:rsidR="00DC38CB" w:rsidRPr="00DC38CB" w:rsidRDefault="00DC38CB" w:rsidP="00DC38CB">
            <w:pPr>
              <w:rPr>
                <w:rFonts w:ascii="Calibri" w:hAnsi="Calibri" w:cs="Calibri"/>
                <w:color w:val="000000"/>
                <w:sz w:val="18"/>
                <w:szCs w:val="18"/>
              </w:rPr>
            </w:pPr>
            <w:r w:rsidRPr="00DC38CB">
              <w:rPr>
                <w:rFonts w:ascii="Calibri" w:hAnsi="Calibri" w:cs="Calibri"/>
                <w:color w:val="000000"/>
                <w:sz w:val="18"/>
                <w:szCs w:val="18"/>
              </w:rPr>
              <w:t xml:space="preserve">Average Monthly Usage per Residential Customer </w:t>
            </w:r>
          </w:p>
        </w:tc>
        <w:tc>
          <w:tcPr>
            <w:tcW w:w="2564" w:type="dxa"/>
            <w:gridSpan w:val="2"/>
            <w:tcBorders>
              <w:top w:val="single" w:sz="4" w:space="0" w:color="auto"/>
              <w:left w:val="nil"/>
              <w:bottom w:val="single" w:sz="8" w:space="0" w:color="auto"/>
              <w:right w:val="single" w:sz="4" w:space="0" w:color="000000"/>
            </w:tcBorders>
            <w:shd w:val="clear" w:color="auto" w:fill="auto"/>
            <w:noWrap/>
            <w:vAlign w:val="bottom"/>
            <w:hideMark/>
          </w:tcPr>
          <w:p w14:paraId="02A8A617" w14:textId="4C6A554E"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15.50</w:t>
            </w:r>
            <w:r w:rsidR="00751BF1" w:rsidRPr="00DC38CB">
              <w:rPr>
                <w:rFonts w:ascii="Calibri" w:hAnsi="Calibri" w:cs="Calibri"/>
                <w:color w:val="000000"/>
                <w:sz w:val="18"/>
                <w:szCs w:val="18"/>
              </w:rPr>
              <w:t xml:space="preserve"> </w:t>
            </w:r>
            <w:r w:rsidR="00751BF1">
              <w:rPr>
                <w:rFonts w:ascii="Calibri" w:hAnsi="Calibri" w:cs="Calibri"/>
                <w:color w:val="000000"/>
                <w:sz w:val="18"/>
                <w:szCs w:val="18"/>
              </w:rPr>
              <w:t>m</w:t>
            </w:r>
            <w:r w:rsidR="00751BF1">
              <w:rPr>
                <w:rFonts w:ascii="Calibri" w:hAnsi="Calibri" w:cs="Calibri"/>
                <w:color w:val="000000"/>
                <w:sz w:val="18"/>
                <w:szCs w:val="18"/>
                <w:vertAlign w:val="superscript"/>
              </w:rPr>
              <w:t>3</w:t>
            </w:r>
            <w:r w:rsidRPr="00DC38CB">
              <w:rPr>
                <w:rFonts w:ascii="Calibri" w:hAnsi="Calibri" w:cs="Calibri"/>
                <w:color w:val="000000"/>
                <w:sz w:val="18"/>
                <w:szCs w:val="18"/>
              </w:rPr>
              <w:t xml:space="preserve"> </w:t>
            </w:r>
          </w:p>
        </w:tc>
        <w:tc>
          <w:tcPr>
            <w:tcW w:w="1986" w:type="dxa"/>
            <w:gridSpan w:val="2"/>
            <w:tcBorders>
              <w:top w:val="single" w:sz="4" w:space="0" w:color="auto"/>
              <w:left w:val="nil"/>
              <w:bottom w:val="single" w:sz="8" w:space="0" w:color="auto"/>
              <w:right w:val="single" w:sz="4" w:space="0" w:color="000000"/>
            </w:tcBorders>
            <w:shd w:val="clear" w:color="auto" w:fill="auto"/>
            <w:noWrap/>
            <w:vAlign w:val="bottom"/>
            <w:hideMark/>
          </w:tcPr>
          <w:p w14:paraId="1AF87003" w14:textId="265760D6"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15.28</w:t>
            </w:r>
            <w:r w:rsidR="00751BF1" w:rsidRPr="00DC38CB">
              <w:rPr>
                <w:rFonts w:ascii="Calibri" w:hAnsi="Calibri" w:cs="Calibri"/>
                <w:color w:val="000000"/>
                <w:sz w:val="18"/>
                <w:szCs w:val="18"/>
              </w:rPr>
              <w:t xml:space="preserve"> </w:t>
            </w:r>
            <w:r w:rsidR="00751BF1">
              <w:rPr>
                <w:rFonts w:ascii="Calibri" w:hAnsi="Calibri" w:cs="Calibri"/>
                <w:color w:val="000000"/>
                <w:sz w:val="18"/>
                <w:szCs w:val="18"/>
              </w:rPr>
              <w:t>m</w:t>
            </w:r>
            <w:r w:rsidR="00751BF1">
              <w:rPr>
                <w:rFonts w:ascii="Calibri" w:hAnsi="Calibri" w:cs="Calibri"/>
                <w:color w:val="000000"/>
                <w:sz w:val="18"/>
                <w:szCs w:val="18"/>
                <w:vertAlign w:val="superscript"/>
              </w:rPr>
              <w:t>3</w:t>
            </w:r>
            <w:r w:rsidRPr="00DC38CB">
              <w:rPr>
                <w:rFonts w:ascii="Calibri" w:hAnsi="Calibri" w:cs="Calibri"/>
                <w:color w:val="000000"/>
                <w:sz w:val="18"/>
                <w:szCs w:val="18"/>
              </w:rPr>
              <w:t xml:space="preserve"> </w:t>
            </w:r>
          </w:p>
        </w:tc>
        <w:tc>
          <w:tcPr>
            <w:tcW w:w="2277" w:type="dxa"/>
            <w:gridSpan w:val="2"/>
            <w:tcBorders>
              <w:top w:val="single" w:sz="4" w:space="0" w:color="auto"/>
              <w:left w:val="nil"/>
              <w:bottom w:val="single" w:sz="8" w:space="0" w:color="auto"/>
              <w:right w:val="single" w:sz="4" w:space="0" w:color="000000"/>
            </w:tcBorders>
            <w:shd w:val="clear" w:color="auto" w:fill="auto"/>
            <w:noWrap/>
            <w:vAlign w:val="bottom"/>
            <w:hideMark/>
          </w:tcPr>
          <w:p w14:paraId="47EDEAA6" w14:textId="0C913F80"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19.19</w:t>
            </w:r>
            <w:r w:rsidR="00751BF1" w:rsidRPr="00DC38CB">
              <w:rPr>
                <w:rFonts w:ascii="Calibri" w:hAnsi="Calibri" w:cs="Calibri"/>
                <w:color w:val="000000"/>
                <w:sz w:val="18"/>
                <w:szCs w:val="18"/>
              </w:rPr>
              <w:t xml:space="preserve"> </w:t>
            </w:r>
            <w:r w:rsidR="00751BF1">
              <w:rPr>
                <w:rFonts w:ascii="Calibri" w:hAnsi="Calibri" w:cs="Calibri"/>
                <w:color w:val="000000"/>
                <w:sz w:val="18"/>
                <w:szCs w:val="18"/>
              </w:rPr>
              <w:t>m</w:t>
            </w:r>
            <w:r w:rsidR="00751BF1">
              <w:rPr>
                <w:rFonts w:ascii="Calibri" w:hAnsi="Calibri" w:cs="Calibri"/>
                <w:color w:val="000000"/>
                <w:sz w:val="18"/>
                <w:szCs w:val="18"/>
                <w:vertAlign w:val="superscript"/>
              </w:rPr>
              <w:t>3</w:t>
            </w:r>
            <w:r w:rsidRPr="00DC38CB">
              <w:rPr>
                <w:rFonts w:ascii="Calibri" w:hAnsi="Calibri" w:cs="Calibri"/>
                <w:color w:val="000000"/>
                <w:sz w:val="18"/>
                <w:szCs w:val="18"/>
              </w:rPr>
              <w:t xml:space="preserve"> </w:t>
            </w:r>
          </w:p>
        </w:tc>
      </w:tr>
      <w:tr w:rsidR="00DC38CB" w:rsidRPr="00DC38CB" w14:paraId="3422D4D2" w14:textId="77777777" w:rsidTr="00DC38CB">
        <w:trPr>
          <w:trHeight w:val="320"/>
        </w:trPr>
        <w:tc>
          <w:tcPr>
            <w:tcW w:w="2523" w:type="dxa"/>
            <w:tcBorders>
              <w:top w:val="nil"/>
              <w:left w:val="single" w:sz="4" w:space="0" w:color="auto"/>
              <w:bottom w:val="single" w:sz="4" w:space="0" w:color="auto"/>
              <w:right w:val="single" w:sz="4" w:space="0" w:color="auto"/>
            </w:tcBorders>
            <w:shd w:val="clear" w:color="auto" w:fill="auto"/>
            <w:noWrap/>
            <w:vAlign w:val="bottom"/>
            <w:hideMark/>
          </w:tcPr>
          <w:p w14:paraId="475364B7" w14:textId="77F62042" w:rsidR="00DC38CB" w:rsidRPr="00DC38CB" w:rsidRDefault="00751BF1" w:rsidP="00DC38CB">
            <w:pPr>
              <w:rPr>
                <w:rFonts w:ascii="Calibri" w:hAnsi="Calibri" w:cs="Calibri"/>
                <w:color w:val="000000"/>
                <w:sz w:val="18"/>
                <w:szCs w:val="18"/>
              </w:rPr>
            </w:pPr>
            <w:r>
              <w:rPr>
                <w:rFonts w:ascii="Calibri" w:hAnsi="Calibri" w:cs="Calibri"/>
                <w:color w:val="000000"/>
                <w:sz w:val="18"/>
                <w:szCs w:val="18"/>
              </w:rPr>
              <w:t xml:space="preserve">Average </w:t>
            </w:r>
            <w:r w:rsidR="00DC38CB" w:rsidRPr="00DC38CB">
              <w:rPr>
                <w:rFonts w:ascii="Calibri" w:hAnsi="Calibri" w:cs="Calibri"/>
                <w:color w:val="000000"/>
                <w:sz w:val="18"/>
                <w:szCs w:val="18"/>
              </w:rPr>
              <w:t>Water Rate: New</w:t>
            </w:r>
          </w:p>
        </w:tc>
        <w:tc>
          <w:tcPr>
            <w:tcW w:w="773" w:type="dxa"/>
            <w:tcBorders>
              <w:top w:val="nil"/>
              <w:left w:val="nil"/>
              <w:bottom w:val="single" w:sz="4" w:space="0" w:color="auto"/>
              <w:right w:val="single" w:sz="4" w:space="0" w:color="auto"/>
            </w:tcBorders>
            <w:shd w:val="clear" w:color="auto" w:fill="auto"/>
            <w:noWrap/>
            <w:vAlign w:val="bottom"/>
            <w:hideMark/>
          </w:tcPr>
          <w:p w14:paraId="654BA735" w14:textId="0313DA86" w:rsidR="00DC38CB" w:rsidRPr="00DC38CB" w:rsidRDefault="00DC38CB" w:rsidP="00DC38CB">
            <w:pPr>
              <w:jc w:val="center"/>
              <w:rPr>
                <w:rFonts w:ascii="Calibri" w:hAnsi="Calibri" w:cs="Calibri"/>
                <w:i/>
                <w:iCs/>
                <w:color w:val="000000"/>
                <w:sz w:val="18"/>
                <w:szCs w:val="18"/>
              </w:rPr>
            </w:pPr>
            <w:r w:rsidRPr="00DC38CB">
              <w:rPr>
                <w:rFonts w:ascii="Calibri" w:hAnsi="Calibri" w:cs="Calibri"/>
                <w:i/>
                <w:iCs/>
                <w:color w:val="000000"/>
                <w:sz w:val="18"/>
                <w:szCs w:val="18"/>
              </w:rPr>
              <w:t xml:space="preserve"> $</w:t>
            </w:r>
            <w:r w:rsidRPr="00751BF1">
              <w:rPr>
                <w:rFonts w:ascii="Calibri" w:hAnsi="Calibri" w:cs="Calibri"/>
                <w:i/>
                <w:iCs/>
                <w:color w:val="000000"/>
                <w:sz w:val="18"/>
                <w:szCs w:val="18"/>
              </w:rPr>
              <w:t xml:space="preserve"> </w:t>
            </w:r>
            <w:r w:rsidRPr="00DC38CB">
              <w:rPr>
                <w:rFonts w:ascii="Calibri" w:hAnsi="Calibri" w:cs="Calibri"/>
                <w:i/>
                <w:iCs/>
                <w:color w:val="000000"/>
                <w:sz w:val="18"/>
                <w:szCs w:val="18"/>
              </w:rPr>
              <w:t xml:space="preserve">2.06 </w:t>
            </w:r>
          </w:p>
        </w:tc>
        <w:tc>
          <w:tcPr>
            <w:tcW w:w="1791" w:type="dxa"/>
            <w:tcBorders>
              <w:top w:val="nil"/>
              <w:left w:val="nil"/>
              <w:bottom w:val="single" w:sz="4" w:space="0" w:color="auto"/>
              <w:right w:val="single" w:sz="4" w:space="0" w:color="auto"/>
            </w:tcBorders>
            <w:shd w:val="clear" w:color="auto" w:fill="auto"/>
            <w:noWrap/>
            <w:vAlign w:val="bottom"/>
            <w:hideMark/>
          </w:tcPr>
          <w:p w14:paraId="225A7738" w14:textId="0B08AFA9"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w:t>
            </w:r>
            <w:r w:rsidRPr="00DC38CB">
              <w:rPr>
                <w:rFonts w:ascii="Calibri" w:hAnsi="Calibri" w:cs="Calibri"/>
                <w:color w:val="000000"/>
                <w:sz w:val="18"/>
                <w:szCs w:val="18"/>
              </w:rPr>
              <w:t xml:space="preserve"> </w:t>
            </w:r>
            <w:r w:rsidRPr="00DC38CB">
              <w:rPr>
                <w:rFonts w:ascii="Calibri" w:hAnsi="Calibri" w:cs="Calibri"/>
                <w:color w:val="000000"/>
                <w:sz w:val="18"/>
                <w:szCs w:val="18"/>
              </w:rPr>
              <w:t xml:space="preserve">38,166,166 </w:t>
            </w:r>
          </w:p>
        </w:tc>
        <w:tc>
          <w:tcPr>
            <w:tcW w:w="751" w:type="dxa"/>
            <w:tcBorders>
              <w:top w:val="nil"/>
              <w:left w:val="nil"/>
              <w:bottom w:val="single" w:sz="4" w:space="0" w:color="auto"/>
              <w:right w:val="single" w:sz="4" w:space="0" w:color="auto"/>
            </w:tcBorders>
            <w:shd w:val="clear" w:color="auto" w:fill="auto"/>
            <w:noWrap/>
            <w:vAlign w:val="bottom"/>
            <w:hideMark/>
          </w:tcPr>
          <w:p w14:paraId="039C6674" w14:textId="3F854197" w:rsidR="00DC38CB" w:rsidRPr="00DC38CB" w:rsidRDefault="00DC38CB" w:rsidP="00DC38CB">
            <w:pPr>
              <w:jc w:val="center"/>
              <w:rPr>
                <w:rFonts w:ascii="Calibri" w:hAnsi="Calibri" w:cs="Calibri"/>
                <w:i/>
                <w:iCs/>
                <w:color w:val="000000"/>
                <w:sz w:val="18"/>
                <w:szCs w:val="18"/>
              </w:rPr>
            </w:pPr>
            <w:r w:rsidRPr="00DC38CB">
              <w:rPr>
                <w:rFonts w:ascii="Calibri" w:hAnsi="Calibri" w:cs="Calibri"/>
                <w:i/>
                <w:iCs/>
                <w:color w:val="000000"/>
                <w:sz w:val="18"/>
                <w:szCs w:val="18"/>
              </w:rPr>
              <w:t xml:space="preserve"> $</w:t>
            </w:r>
            <w:r w:rsidRPr="00751BF1">
              <w:rPr>
                <w:rFonts w:ascii="Calibri" w:hAnsi="Calibri" w:cs="Calibri"/>
                <w:i/>
                <w:iCs/>
                <w:color w:val="000000"/>
                <w:sz w:val="18"/>
                <w:szCs w:val="18"/>
              </w:rPr>
              <w:t xml:space="preserve"> </w:t>
            </w:r>
            <w:r w:rsidRPr="00DC38CB">
              <w:rPr>
                <w:rFonts w:ascii="Calibri" w:hAnsi="Calibri" w:cs="Calibri"/>
                <w:i/>
                <w:iCs/>
                <w:color w:val="000000"/>
                <w:sz w:val="18"/>
                <w:szCs w:val="18"/>
              </w:rPr>
              <w:t xml:space="preserve">2.06 </w:t>
            </w:r>
          </w:p>
        </w:tc>
        <w:tc>
          <w:tcPr>
            <w:tcW w:w="1235" w:type="dxa"/>
            <w:tcBorders>
              <w:top w:val="nil"/>
              <w:left w:val="nil"/>
              <w:bottom w:val="single" w:sz="4" w:space="0" w:color="auto"/>
              <w:right w:val="single" w:sz="4" w:space="0" w:color="auto"/>
            </w:tcBorders>
            <w:shd w:val="clear" w:color="auto" w:fill="auto"/>
            <w:noWrap/>
            <w:vAlign w:val="bottom"/>
            <w:hideMark/>
          </w:tcPr>
          <w:p w14:paraId="22133214" w14:textId="7BEBEC03"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w:t>
            </w:r>
            <w:r w:rsidRPr="00DC38CB">
              <w:rPr>
                <w:rFonts w:ascii="Calibri" w:hAnsi="Calibri" w:cs="Calibri"/>
                <w:color w:val="000000"/>
                <w:sz w:val="18"/>
                <w:szCs w:val="18"/>
              </w:rPr>
              <w:t xml:space="preserve"> </w:t>
            </w:r>
            <w:r w:rsidRPr="00DC38CB">
              <w:rPr>
                <w:rFonts w:ascii="Calibri" w:hAnsi="Calibri" w:cs="Calibri"/>
                <w:color w:val="000000"/>
                <w:sz w:val="18"/>
                <w:szCs w:val="18"/>
              </w:rPr>
              <w:t xml:space="preserve">38,086,864 </w:t>
            </w:r>
          </w:p>
        </w:tc>
        <w:tc>
          <w:tcPr>
            <w:tcW w:w="752" w:type="dxa"/>
            <w:tcBorders>
              <w:top w:val="nil"/>
              <w:left w:val="nil"/>
              <w:bottom w:val="single" w:sz="4" w:space="0" w:color="auto"/>
              <w:right w:val="single" w:sz="4" w:space="0" w:color="auto"/>
            </w:tcBorders>
            <w:shd w:val="clear" w:color="auto" w:fill="auto"/>
            <w:noWrap/>
            <w:vAlign w:val="bottom"/>
            <w:hideMark/>
          </w:tcPr>
          <w:p w14:paraId="5574FD1C" w14:textId="7B17E6E7" w:rsidR="00DC38CB" w:rsidRPr="00DC38CB" w:rsidRDefault="00DC38CB" w:rsidP="00DC38CB">
            <w:pPr>
              <w:jc w:val="center"/>
              <w:rPr>
                <w:rFonts w:ascii="Calibri" w:hAnsi="Calibri" w:cs="Calibri"/>
                <w:i/>
                <w:iCs/>
                <w:color w:val="000000"/>
                <w:sz w:val="18"/>
                <w:szCs w:val="18"/>
              </w:rPr>
            </w:pPr>
            <w:r w:rsidRPr="00DC38CB">
              <w:rPr>
                <w:rFonts w:ascii="Calibri" w:hAnsi="Calibri" w:cs="Calibri"/>
                <w:i/>
                <w:iCs/>
                <w:color w:val="000000"/>
                <w:sz w:val="18"/>
                <w:szCs w:val="18"/>
              </w:rPr>
              <w:t xml:space="preserve"> $</w:t>
            </w:r>
            <w:r w:rsidRPr="00751BF1">
              <w:rPr>
                <w:rFonts w:ascii="Calibri" w:hAnsi="Calibri" w:cs="Calibri"/>
                <w:i/>
                <w:iCs/>
                <w:color w:val="000000"/>
                <w:sz w:val="18"/>
                <w:szCs w:val="18"/>
              </w:rPr>
              <w:t xml:space="preserve"> </w:t>
            </w:r>
            <w:r w:rsidRPr="00DC38CB">
              <w:rPr>
                <w:rFonts w:ascii="Calibri" w:hAnsi="Calibri" w:cs="Calibri"/>
                <w:i/>
                <w:iCs/>
                <w:color w:val="000000"/>
                <w:sz w:val="18"/>
                <w:szCs w:val="18"/>
              </w:rPr>
              <w:t xml:space="preserve">2.06 </w:t>
            </w:r>
          </w:p>
        </w:tc>
        <w:tc>
          <w:tcPr>
            <w:tcW w:w="1525" w:type="dxa"/>
            <w:tcBorders>
              <w:top w:val="nil"/>
              <w:left w:val="nil"/>
              <w:bottom w:val="single" w:sz="4" w:space="0" w:color="auto"/>
              <w:right w:val="single" w:sz="4" w:space="0" w:color="auto"/>
            </w:tcBorders>
            <w:shd w:val="clear" w:color="auto" w:fill="auto"/>
            <w:noWrap/>
            <w:vAlign w:val="bottom"/>
            <w:hideMark/>
          </w:tcPr>
          <w:p w14:paraId="041EFED5" w14:textId="72D6423F"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w:t>
            </w:r>
            <w:r w:rsidRPr="00DC38CB">
              <w:rPr>
                <w:rFonts w:ascii="Calibri" w:hAnsi="Calibri" w:cs="Calibri"/>
                <w:color w:val="000000"/>
                <w:sz w:val="18"/>
                <w:szCs w:val="18"/>
              </w:rPr>
              <w:t xml:space="preserve"> </w:t>
            </w:r>
            <w:r w:rsidRPr="00DC38CB">
              <w:rPr>
                <w:rFonts w:ascii="Calibri" w:hAnsi="Calibri" w:cs="Calibri"/>
                <w:color w:val="000000"/>
                <w:sz w:val="18"/>
                <w:szCs w:val="18"/>
              </w:rPr>
              <w:t xml:space="preserve">48,583,065 </w:t>
            </w:r>
          </w:p>
        </w:tc>
      </w:tr>
      <w:tr w:rsidR="00DC38CB" w:rsidRPr="00DC38CB" w14:paraId="6090616B" w14:textId="77777777" w:rsidTr="00DC38CB">
        <w:trPr>
          <w:trHeight w:val="340"/>
        </w:trPr>
        <w:tc>
          <w:tcPr>
            <w:tcW w:w="2523" w:type="dxa"/>
            <w:tcBorders>
              <w:top w:val="nil"/>
              <w:left w:val="single" w:sz="4" w:space="0" w:color="auto"/>
              <w:bottom w:val="nil"/>
              <w:right w:val="single" w:sz="4" w:space="0" w:color="auto"/>
            </w:tcBorders>
            <w:shd w:val="clear" w:color="auto" w:fill="auto"/>
            <w:noWrap/>
            <w:vAlign w:val="bottom"/>
            <w:hideMark/>
          </w:tcPr>
          <w:p w14:paraId="374B52E8" w14:textId="0E120725" w:rsidR="00DC38CB" w:rsidRPr="00DC38CB" w:rsidRDefault="00DC38CB" w:rsidP="00DC38CB">
            <w:pPr>
              <w:rPr>
                <w:rFonts w:ascii="Calibri" w:hAnsi="Calibri" w:cs="Calibri"/>
                <w:color w:val="000000"/>
                <w:sz w:val="18"/>
                <w:szCs w:val="18"/>
              </w:rPr>
            </w:pPr>
            <w:r w:rsidRPr="00DC38CB">
              <w:rPr>
                <w:rFonts w:ascii="Calibri" w:hAnsi="Calibri" w:cs="Calibri"/>
                <w:color w:val="000000"/>
                <w:sz w:val="18"/>
                <w:szCs w:val="18"/>
              </w:rPr>
              <w:t>Average Water Rate: Old</w:t>
            </w:r>
          </w:p>
        </w:tc>
        <w:tc>
          <w:tcPr>
            <w:tcW w:w="773" w:type="dxa"/>
            <w:tcBorders>
              <w:top w:val="nil"/>
              <w:left w:val="nil"/>
              <w:bottom w:val="single" w:sz="8" w:space="0" w:color="auto"/>
              <w:right w:val="single" w:sz="4" w:space="0" w:color="auto"/>
            </w:tcBorders>
            <w:shd w:val="clear" w:color="auto" w:fill="auto"/>
            <w:noWrap/>
            <w:vAlign w:val="bottom"/>
            <w:hideMark/>
          </w:tcPr>
          <w:p w14:paraId="5FB86738" w14:textId="23119D26" w:rsidR="00DC38CB" w:rsidRPr="00DC38CB" w:rsidRDefault="00DC38CB" w:rsidP="00DC38CB">
            <w:pPr>
              <w:jc w:val="center"/>
              <w:rPr>
                <w:rFonts w:ascii="Calibri" w:hAnsi="Calibri" w:cs="Calibri"/>
                <w:i/>
                <w:iCs/>
                <w:color w:val="000000"/>
                <w:sz w:val="18"/>
                <w:szCs w:val="18"/>
              </w:rPr>
            </w:pPr>
            <w:r w:rsidRPr="00DC38CB">
              <w:rPr>
                <w:rFonts w:ascii="Calibri" w:hAnsi="Calibri" w:cs="Calibri"/>
                <w:i/>
                <w:iCs/>
                <w:color w:val="000000"/>
                <w:sz w:val="18"/>
                <w:szCs w:val="18"/>
              </w:rPr>
              <w:t xml:space="preserve"> $</w:t>
            </w:r>
            <w:r w:rsidRPr="00751BF1">
              <w:rPr>
                <w:rFonts w:ascii="Calibri" w:hAnsi="Calibri" w:cs="Calibri"/>
                <w:i/>
                <w:iCs/>
                <w:color w:val="000000"/>
                <w:sz w:val="18"/>
                <w:szCs w:val="18"/>
              </w:rPr>
              <w:t xml:space="preserve"> </w:t>
            </w:r>
            <w:r w:rsidRPr="00DC38CB">
              <w:rPr>
                <w:rFonts w:ascii="Calibri" w:hAnsi="Calibri" w:cs="Calibri"/>
                <w:i/>
                <w:iCs/>
                <w:color w:val="000000"/>
                <w:sz w:val="18"/>
                <w:szCs w:val="18"/>
              </w:rPr>
              <w:t xml:space="preserve">1.61 </w:t>
            </w:r>
          </w:p>
        </w:tc>
        <w:tc>
          <w:tcPr>
            <w:tcW w:w="1791" w:type="dxa"/>
            <w:tcBorders>
              <w:top w:val="nil"/>
              <w:left w:val="nil"/>
              <w:bottom w:val="single" w:sz="8" w:space="0" w:color="auto"/>
              <w:right w:val="single" w:sz="4" w:space="0" w:color="auto"/>
            </w:tcBorders>
            <w:shd w:val="clear" w:color="auto" w:fill="auto"/>
            <w:noWrap/>
            <w:vAlign w:val="bottom"/>
            <w:hideMark/>
          </w:tcPr>
          <w:p w14:paraId="405CC07C" w14:textId="4540763A"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w:t>
            </w:r>
            <w:r w:rsidRPr="00DC38CB">
              <w:rPr>
                <w:rFonts w:ascii="Calibri" w:hAnsi="Calibri" w:cs="Calibri"/>
                <w:color w:val="000000"/>
                <w:sz w:val="18"/>
                <w:szCs w:val="18"/>
              </w:rPr>
              <w:t xml:space="preserve"> </w:t>
            </w:r>
            <w:r w:rsidRPr="00DC38CB">
              <w:rPr>
                <w:rFonts w:ascii="Calibri" w:hAnsi="Calibri" w:cs="Calibri"/>
                <w:color w:val="000000"/>
                <w:sz w:val="18"/>
                <w:szCs w:val="18"/>
              </w:rPr>
              <w:t xml:space="preserve">29,828,897 </w:t>
            </w:r>
          </w:p>
        </w:tc>
        <w:tc>
          <w:tcPr>
            <w:tcW w:w="751" w:type="dxa"/>
            <w:tcBorders>
              <w:top w:val="nil"/>
              <w:left w:val="nil"/>
              <w:bottom w:val="single" w:sz="8" w:space="0" w:color="auto"/>
              <w:right w:val="single" w:sz="4" w:space="0" w:color="auto"/>
            </w:tcBorders>
            <w:shd w:val="clear" w:color="auto" w:fill="auto"/>
            <w:noWrap/>
            <w:vAlign w:val="bottom"/>
            <w:hideMark/>
          </w:tcPr>
          <w:p w14:paraId="41513987" w14:textId="47E0D173" w:rsidR="00DC38CB" w:rsidRPr="00DC38CB" w:rsidRDefault="00DC38CB" w:rsidP="00DC38CB">
            <w:pPr>
              <w:jc w:val="center"/>
              <w:rPr>
                <w:rFonts w:ascii="Calibri" w:hAnsi="Calibri" w:cs="Calibri"/>
                <w:i/>
                <w:iCs/>
                <w:color w:val="000000"/>
                <w:sz w:val="18"/>
                <w:szCs w:val="18"/>
              </w:rPr>
            </w:pPr>
            <w:r w:rsidRPr="00DC38CB">
              <w:rPr>
                <w:rFonts w:ascii="Calibri" w:hAnsi="Calibri" w:cs="Calibri"/>
                <w:i/>
                <w:iCs/>
                <w:color w:val="000000"/>
                <w:sz w:val="18"/>
                <w:szCs w:val="18"/>
              </w:rPr>
              <w:t xml:space="preserve"> $</w:t>
            </w:r>
            <w:r w:rsidRPr="00751BF1">
              <w:rPr>
                <w:rFonts w:ascii="Calibri" w:hAnsi="Calibri" w:cs="Calibri"/>
                <w:i/>
                <w:iCs/>
                <w:color w:val="000000"/>
                <w:sz w:val="18"/>
                <w:szCs w:val="18"/>
              </w:rPr>
              <w:t xml:space="preserve"> </w:t>
            </w:r>
            <w:r w:rsidRPr="00DC38CB">
              <w:rPr>
                <w:rFonts w:ascii="Calibri" w:hAnsi="Calibri" w:cs="Calibri"/>
                <w:i/>
                <w:iCs/>
                <w:color w:val="000000"/>
                <w:sz w:val="18"/>
                <w:szCs w:val="18"/>
              </w:rPr>
              <w:t xml:space="preserve">1.61 </w:t>
            </w:r>
          </w:p>
        </w:tc>
        <w:tc>
          <w:tcPr>
            <w:tcW w:w="1235" w:type="dxa"/>
            <w:tcBorders>
              <w:top w:val="nil"/>
              <w:left w:val="nil"/>
              <w:bottom w:val="single" w:sz="8" w:space="0" w:color="auto"/>
              <w:right w:val="single" w:sz="4" w:space="0" w:color="auto"/>
            </w:tcBorders>
            <w:shd w:val="clear" w:color="auto" w:fill="auto"/>
            <w:noWrap/>
            <w:vAlign w:val="bottom"/>
            <w:hideMark/>
          </w:tcPr>
          <w:p w14:paraId="6418B9C5" w14:textId="37632EC5"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w:t>
            </w:r>
            <w:r w:rsidRPr="00DC38CB">
              <w:rPr>
                <w:rFonts w:ascii="Calibri" w:hAnsi="Calibri" w:cs="Calibri"/>
                <w:color w:val="000000"/>
                <w:sz w:val="18"/>
                <w:szCs w:val="18"/>
              </w:rPr>
              <w:t xml:space="preserve"> </w:t>
            </w:r>
            <w:r w:rsidRPr="00DC38CB">
              <w:rPr>
                <w:rFonts w:ascii="Calibri" w:hAnsi="Calibri" w:cs="Calibri"/>
                <w:color w:val="000000"/>
                <w:sz w:val="18"/>
                <w:szCs w:val="18"/>
              </w:rPr>
              <w:t xml:space="preserve">29,766,918 </w:t>
            </w:r>
          </w:p>
        </w:tc>
        <w:tc>
          <w:tcPr>
            <w:tcW w:w="752" w:type="dxa"/>
            <w:tcBorders>
              <w:top w:val="nil"/>
              <w:left w:val="nil"/>
              <w:bottom w:val="single" w:sz="8" w:space="0" w:color="auto"/>
              <w:right w:val="single" w:sz="4" w:space="0" w:color="auto"/>
            </w:tcBorders>
            <w:shd w:val="clear" w:color="auto" w:fill="auto"/>
            <w:noWrap/>
            <w:vAlign w:val="bottom"/>
            <w:hideMark/>
          </w:tcPr>
          <w:p w14:paraId="239BB095" w14:textId="1EEC1C6B" w:rsidR="00DC38CB" w:rsidRPr="00DC38CB" w:rsidRDefault="00DC38CB" w:rsidP="00DC38CB">
            <w:pPr>
              <w:jc w:val="center"/>
              <w:rPr>
                <w:rFonts w:ascii="Calibri" w:hAnsi="Calibri" w:cs="Calibri"/>
                <w:i/>
                <w:iCs/>
                <w:color w:val="000000"/>
                <w:sz w:val="18"/>
                <w:szCs w:val="18"/>
              </w:rPr>
            </w:pPr>
            <w:r w:rsidRPr="00DC38CB">
              <w:rPr>
                <w:rFonts w:ascii="Calibri" w:hAnsi="Calibri" w:cs="Calibri"/>
                <w:i/>
                <w:iCs/>
                <w:color w:val="000000"/>
                <w:sz w:val="18"/>
                <w:szCs w:val="18"/>
              </w:rPr>
              <w:t xml:space="preserve"> $</w:t>
            </w:r>
            <w:r w:rsidRPr="00751BF1">
              <w:rPr>
                <w:rFonts w:ascii="Calibri" w:hAnsi="Calibri" w:cs="Calibri"/>
                <w:i/>
                <w:iCs/>
                <w:color w:val="000000"/>
                <w:sz w:val="18"/>
                <w:szCs w:val="18"/>
              </w:rPr>
              <w:t xml:space="preserve"> </w:t>
            </w:r>
            <w:r w:rsidRPr="00DC38CB">
              <w:rPr>
                <w:rFonts w:ascii="Calibri" w:hAnsi="Calibri" w:cs="Calibri"/>
                <w:i/>
                <w:iCs/>
                <w:color w:val="000000"/>
                <w:sz w:val="18"/>
                <w:szCs w:val="18"/>
              </w:rPr>
              <w:t xml:space="preserve">1.78 </w:t>
            </w:r>
          </w:p>
        </w:tc>
        <w:tc>
          <w:tcPr>
            <w:tcW w:w="1525" w:type="dxa"/>
            <w:tcBorders>
              <w:top w:val="nil"/>
              <w:left w:val="nil"/>
              <w:bottom w:val="single" w:sz="8" w:space="0" w:color="auto"/>
              <w:right w:val="single" w:sz="4" w:space="0" w:color="auto"/>
            </w:tcBorders>
            <w:shd w:val="clear" w:color="auto" w:fill="auto"/>
            <w:noWrap/>
            <w:vAlign w:val="bottom"/>
            <w:hideMark/>
          </w:tcPr>
          <w:p w14:paraId="26D1FAD4" w14:textId="5EB1BA83" w:rsidR="00DC38CB" w:rsidRPr="00DC38CB" w:rsidRDefault="00DC38CB" w:rsidP="00DC38CB">
            <w:pPr>
              <w:jc w:val="center"/>
              <w:rPr>
                <w:rFonts w:ascii="Calibri" w:hAnsi="Calibri" w:cs="Calibri"/>
                <w:color w:val="000000"/>
                <w:sz w:val="18"/>
                <w:szCs w:val="18"/>
              </w:rPr>
            </w:pPr>
            <w:r w:rsidRPr="00DC38CB">
              <w:rPr>
                <w:rFonts w:ascii="Calibri" w:hAnsi="Calibri" w:cs="Calibri"/>
                <w:color w:val="000000"/>
                <w:sz w:val="18"/>
                <w:szCs w:val="18"/>
              </w:rPr>
              <w:t xml:space="preserve"> $</w:t>
            </w:r>
            <w:r w:rsidRPr="00DC38CB">
              <w:rPr>
                <w:rFonts w:ascii="Calibri" w:hAnsi="Calibri" w:cs="Calibri"/>
                <w:color w:val="000000"/>
                <w:sz w:val="18"/>
                <w:szCs w:val="18"/>
              </w:rPr>
              <w:t xml:space="preserve"> </w:t>
            </w:r>
            <w:r w:rsidRPr="00DC38CB">
              <w:rPr>
                <w:rFonts w:ascii="Calibri" w:hAnsi="Calibri" w:cs="Calibri"/>
                <w:color w:val="000000"/>
                <w:sz w:val="18"/>
                <w:szCs w:val="18"/>
              </w:rPr>
              <w:t xml:space="preserve">41,979,541 </w:t>
            </w:r>
          </w:p>
        </w:tc>
      </w:tr>
      <w:tr w:rsidR="00DC38CB" w:rsidRPr="00DC38CB" w14:paraId="63856D06" w14:textId="77777777" w:rsidTr="00DC38CB">
        <w:trPr>
          <w:trHeight w:val="340"/>
        </w:trPr>
        <w:tc>
          <w:tcPr>
            <w:tcW w:w="252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DF62DE0" w14:textId="7D322E47" w:rsidR="00DC38CB" w:rsidRPr="00DC38CB" w:rsidRDefault="00751BF1" w:rsidP="00DC38CB">
            <w:pPr>
              <w:rPr>
                <w:rFonts w:ascii="Calibri" w:hAnsi="Calibri" w:cs="Calibri"/>
                <w:b/>
                <w:bCs/>
                <w:color w:val="000000"/>
                <w:sz w:val="18"/>
                <w:szCs w:val="18"/>
              </w:rPr>
            </w:pPr>
            <w:r>
              <w:rPr>
                <w:rFonts w:ascii="Calibri" w:hAnsi="Calibri" w:cs="Calibri"/>
                <w:b/>
                <w:bCs/>
                <w:color w:val="000000"/>
                <w:sz w:val="18"/>
                <w:szCs w:val="18"/>
              </w:rPr>
              <w:t>Revenue Increase</w:t>
            </w:r>
          </w:p>
        </w:tc>
        <w:tc>
          <w:tcPr>
            <w:tcW w:w="2564" w:type="dxa"/>
            <w:gridSpan w:val="2"/>
            <w:tcBorders>
              <w:top w:val="nil"/>
              <w:left w:val="nil"/>
              <w:bottom w:val="single" w:sz="8" w:space="0" w:color="auto"/>
              <w:right w:val="single" w:sz="4" w:space="0" w:color="000000"/>
            </w:tcBorders>
            <w:shd w:val="clear" w:color="auto" w:fill="auto"/>
            <w:noWrap/>
            <w:vAlign w:val="bottom"/>
            <w:hideMark/>
          </w:tcPr>
          <w:p w14:paraId="084AA25A" w14:textId="296AFE5C" w:rsidR="00DC38CB" w:rsidRPr="00DC38CB" w:rsidRDefault="00DC38CB" w:rsidP="00DC38CB">
            <w:pPr>
              <w:jc w:val="center"/>
              <w:rPr>
                <w:rFonts w:ascii="Calibri" w:hAnsi="Calibri" w:cs="Calibri"/>
                <w:b/>
                <w:bCs/>
                <w:color w:val="000000"/>
                <w:sz w:val="18"/>
                <w:szCs w:val="18"/>
              </w:rPr>
            </w:pPr>
            <w:r w:rsidRPr="00DC38CB">
              <w:rPr>
                <w:rFonts w:ascii="Calibri" w:hAnsi="Calibri" w:cs="Calibri"/>
                <w:b/>
                <w:bCs/>
                <w:color w:val="000000"/>
                <w:sz w:val="18"/>
                <w:szCs w:val="18"/>
              </w:rPr>
              <w:t xml:space="preserve"> $</w:t>
            </w:r>
            <w:r w:rsidRPr="00DC38CB">
              <w:rPr>
                <w:rFonts w:ascii="Calibri" w:hAnsi="Calibri" w:cs="Calibri"/>
                <w:b/>
                <w:bCs/>
                <w:color w:val="000000"/>
                <w:sz w:val="18"/>
                <w:szCs w:val="18"/>
              </w:rPr>
              <w:t xml:space="preserve"> </w:t>
            </w:r>
            <w:r w:rsidRPr="00DC38CB">
              <w:rPr>
                <w:rFonts w:ascii="Calibri" w:hAnsi="Calibri" w:cs="Calibri"/>
                <w:b/>
                <w:bCs/>
                <w:color w:val="000000"/>
                <w:sz w:val="18"/>
                <w:szCs w:val="18"/>
              </w:rPr>
              <w:t xml:space="preserve">8,337,269 </w:t>
            </w:r>
          </w:p>
        </w:tc>
        <w:tc>
          <w:tcPr>
            <w:tcW w:w="1986" w:type="dxa"/>
            <w:gridSpan w:val="2"/>
            <w:tcBorders>
              <w:top w:val="nil"/>
              <w:left w:val="nil"/>
              <w:bottom w:val="single" w:sz="8" w:space="0" w:color="auto"/>
              <w:right w:val="single" w:sz="4" w:space="0" w:color="000000"/>
            </w:tcBorders>
            <w:shd w:val="clear" w:color="auto" w:fill="auto"/>
            <w:noWrap/>
            <w:vAlign w:val="bottom"/>
            <w:hideMark/>
          </w:tcPr>
          <w:p w14:paraId="3242FE1C" w14:textId="7A2802AC" w:rsidR="00DC38CB" w:rsidRPr="00DC38CB" w:rsidRDefault="00DC38CB" w:rsidP="00DC38CB">
            <w:pPr>
              <w:jc w:val="center"/>
              <w:rPr>
                <w:rFonts w:ascii="Calibri" w:hAnsi="Calibri" w:cs="Calibri"/>
                <w:b/>
                <w:bCs/>
                <w:color w:val="000000"/>
                <w:sz w:val="18"/>
                <w:szCs w:val="18"/>
              </w:rPr>
            </w:pPr>
            <w:r w:rsidRPr="00DC38CB">
              <w:rPr>
                <w:rFonts w:ascii="Calibri" w:hAnsi="Calibri" w:cs="Calibri"/>
                <w:b/>
                <w:bCs/>
                <w:color w:val="000000"/>
                <w:sz w:val="18"/>
                <w:szCs w:val="18"/>
              </w:rPr>
              <w:t xml:space="preserve"> $</w:t>
            </w:r>
            <w:r w:rsidRPr="00DC38CB">
              <w:rPr>
                <w:rFonts w:ascii="Calibri" w:hAnsi="Calibri" w:cs="Calibri"/>
                <w:b/>
                <w:bCs/>
                <w:color w:val="000000"/>
                <w:sz w:val="18"/>
                <w:szCs w:val="18"/>
              </w:rPr>
              <w:t xml:space="preserve"> </w:t>
            </w:r>
            <w:r w:rsidRPr="00DC38CB">
              <w:rPr>
                <w:rFonts w:ascii="Calibri" w:hAnsi="Calibri" w:cs="Calibri"/>
                <w:b/>
                <w:bCs/>
                <w:color w:val="000000"/>
                <w:sz w:val="18"/>
                <w:szCs w:val="18"/>
              </w:rPr>
              <w:t xml:space="preserve">8,319,946 </w:t>
            </w:r>
          </w:p>
        </w:tc>
        <w:tc>
          <w:tcPr>
            <w:tcW w:w="2277" w:type="dxa"/>
            <w:gridSpan w:val="2"/>
            <w:tcBorders>
              <w:top w:val="nil"/>
              <w:left w:val="nil"/>
              <w:bottom w:val="single" w:sz="8" w:space="0" w:color="auto"/>
              <w:right w:val="single" w:sz="8" w:space="0" w:color="000000"/>
            </w:tcBorders>
            <w:shd w:val="clear" w:color="auto" w:fill="auto"/>
            <w:noWrap/>
            <w:vAlign w:val="bottom"/>
            <w:hideMark/>
          </w:tcPr>
          <w:p w14:paraId="4F1B407A" w14:textId="5C082938" w:rsidR="00DC38CB" w:rsidRPr="00DC38CB" w:rsidRDefault="00DC38CB" w:rsidP="00DC38CB">
            <w:pPr>
              <w:jc w:val="center"/>
              <w:rPr>
                <w:rFonts w:ascii="Calibri" w:hAnsi="Calibri" w:cs="Calibri"/>
                <w:b/>
                <w:bCs/>
                <w:color w:val="000000"/>
                <w:sz w:val="18"/>
                <w:szCs w:val="18"/>
              </w:rPr>
            </w:pPr>
            <w:r w:rsidRPr="00DC38CB">
              <w:rPr>
                <w:rFonts w:ascii="Calibri" w:hAnsi="Calibri" w:cs="Calibri"/>
                <w:b/>
                <w:bCs/>
                <w:color w:val="000000"/>
                <w:sz w:val="18"/>
                <w:szCs w:val="18"/>
              </w:rPr>
              <w:t xml:space="preserve"> $</w:t>
            </w:r>
            <w:r w:rsidRPr="00DC38CB">
              <w:rPr>
                <w:rFonts w:ascii="Calibri" w:hAnsi="Calibri" w:cs="Calibri"/>
                <w:b/>
                <w:bCs/>
                <w:color w:val="000000"/>
                <w:sz w:val="18"/>
                <w:szCs w:val="18"/>
              </w:rPr>
              <w:t xml:space="preserve"> </w:t>
            </w:r>
            <w:r w:rsidRPr="00DC38CB">
              <w:rPr>
                <w:rFonts w:ascii="Calibri" w:hAnsi="Calibri" w:cs="Calibri"/>
                <w:b/>
                <w:bCs/>
                <w:color w:val="000000"/>
                <w:sz w:val="18"/>
                <w:szCs w:val="18"/>
              </w:rPr>
              <w:t xml:space="preserve">6,603,523 </w:t>
            </w:r>
          </w:p>
        </w:tc>
      </w:tr>
    </w:tbl>
    <w:p w14:paraId="43DCD41A" w14:textId="77777777" w:rsidR="00200796" w:rsidRDefault="00200796" w:rsidP="007E22C7">
      <w:pPr>
        <w:pStyle w:val="Heading3"/>
      </w:pPr>
    </w:p>
    <w:p w14:paraId="68F4E300" w14:textId="3A0961B7" w:rsidR="007E22C7" w:rsidRDefault="007E22C7" w:rsidP="007E22C7">
      <w:pPr>
        <w:pStyle w:val="Heading3"/>
      </w:pPr>
      <w:r w:rsidRPr="00E722F3">
        <w:t xml:space="preserve">Exhibit </w:t>
      </w:r>
      <w:r>
        <w:t>4</w:t>
      </w:r>
      <w:r w:rsidRPr="00E722F3">
        <w:t xml:space="preserve"> – </w:t>
      </w:r>
      <w:r w:rsidR="000D277E">
        <w:t>Stormwater Processing Fees</w:t>
      </w:r>
    </w:p>
    <w:tbl>
      <w:tblPr>
        <w:tblW w:w="5000" w:type="pct"/>
        <w:tblLook w:val="04A0" w:firstRow="1" w:lastRow="0" w:firstColumn="1" w:lastColumn="0" w:noHBand="0" w:noVBand="1"/>
      </w:tblPr>
      <w:tblGrid>
        <w:gridCol w:w="5755"/>
        <w:gridCol w:w="1980"/>
        <w:gridCol w:w="1615"/>
      </w:tblGrid>
      <w:tr w:rsidR="000D277E" w14:paraId="12954ABE" w14:textId="77777777" w:rsidTr="000D277E">
        <w:trPr>
          <w:trHeight w:val="320"/>
        </w:trPr>
        <w:tc>
          <w:tcPr>
            <w:tcW w:w="575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6049109" w14:textId="77777777" w:rsidR="000D277E" w:rsidRDefault="000D277E">
            <w:pPr>
              <w:jc w:val="center"/>
              <w:rPr>
                <w:rFonts w:ascii="Calibri" w:hAnsi="Calibri" w:cs="Calibri"/>
                <w:b/>
                <w:bCs/>
                <w:color w:val="000000"/>
              </w:rPr>
            </w:pPr>
            <w:r>
              <w:rPr>
                <w:rFonts w:ascii="Calibri" w:hAnsi="Calibri" w:cs="Calibri"/>
                <w:b/>
                <w:bCs/>
                <w:color w:val="000000"/>
              </w:rPr>
              <w:t>Customer Type</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583CEDE5" w14:textId="77777777" w:rsidR="000D277E" w:rsidRDefault="000D277E">
            <w:pPr>
              <w:jc w:val="center"/>
              <w:rPr>
                <w:rFonts w:ascii="Calibri" w:hAnsi="Calibri" w:cs="Calibri"/>
                <w:b/>
                <w:bCs/>
                <w:color w:val="000000"/>
              </w:rPr>
            </w:pPr>
            <w:r>
              <w:rPr>
                <w:rFonts w:ascii="Calibri" w:hAnsi="Calibri" w:cs="Calibri"/>
                <w:b/>
                <w:bCs/>
                <w:color w:val="000000"/>
              </w:rPr>
              <w:t xml:space="preserve"> Rate </w:t>
            </w:r>
          </w:p>
        </w:tc>
        <w:tc>
          <w:tcPr>
            <w:tcW w:w="1615" w:type="dxa"/>
            <w:tcBorders>
              <w:top w:val="single" w:sz="4" w:space="0" w:color="auto"/>
              <w:left w:val="nil"/>
              <w:bottom w:val="single" w:sz="4" w:space="0" w:color="auto"/>
              <w:right w:val="single" w:sz="4" w:space="0" w:color="auto"/>
            </w:tcBorders>
            <w:shd w:val="clear" w:color="000000" w:fill="D9D9D9"/>
            <w:noWrap/>
            <w:vAlign w:val="bottom"/>
            <w:hideMark/>
          </w:tcPr>
          <w:p w14:paraId="347F4C0C" w14:textId="77777777" w:rsidR="000D277E" w:rsidRDefault="000D277E">
            <w:pPr>
              <w:jc w:val="center"/>
              <w:rPr>
                <w:rFonts w:ascii="Calibri" w:hAnsi="Calibri" w:cs="Calibri"/>
                <w:b/>
                <w:bCs/>
                <w:color w:val="000000"/>
              </w:rPr>
            </w:pPr>
            <w:r>
              <w:rPr>
                <w:rFonts w:ascii="Calibri" w:hAnsi="Calibri" w:cs="Calibri"/>
                <w:b/>
                <w:bCs/>
                <w:color w:val="000000"/>
              </w:rPr>
              <w:t xml:space="preserve"> Unit </w:t>
            </w:r>
          </w:p>
        </w:tc>
      </w:tr>
      <w:tr w:rsidR="000D277E" w14:paraId="7551C766" w14:textId="77777777" w:rsidTr="000D277E">
        <w:trPr>
          <w:trHeight w:val="320"/>
        </w:trPr>
        <w:tc>
          <w:tcPr>
            <w:tcW w:w="5755" w:type="dxa"/>
            <w:tcBorders>
              <w:top w:val="nil"/>
              <w:left w:val="single" w:sz="4" w:space="0" w:color="auto"/>
              <w:bottom w:val="single" w:sz="4" w:space="0" w:color="auto"/>
              <w:right w:val="single" w:sz="4" w:space="0" w:color="auto"/>
            </w:tcBorders>
            <w:shd w:val="clear" w:color="auto" w:fill="auto"/>
            <w:noWrap/>
            <w:vAlign w:val="bottom"/>
            <w:hideMark/>
          </w:tcPr>
          <w:p w14:paraId="04612176" w14:textId="7783415A" w:rsidR="000D277E" w:rsidRDefault="000D277E">
            <w:pPr>
              <w:rPr>
                <w:rFonts w:ascii="Calibri" w:hAnsi="Calibri" w:cs="Calibri"/>
                <w:color w:val="000000"/>
              </w:rPr>
            </w:pPr>
            <w:r>
              <w:rPr>
                <w:rFonts w:ascii="Calibri" w:hAnsi="Calibri" w:cs="Calibri"/>
                <w:color w:val="000000"/>
              </w:rPr>
              <w:t xml:space="preserve">Residential &lt; </w:t>
            </w:r>
            <w:r w:rsidR="008A5BD9">
              <w:rPr>
                <w:rFonts w:ascii="Calibri" w:hAnsi="Calibri" w:cs="Calibri"/>
                <w:color w:val="000000"/>
              </w:rPr>
              <w:t>0</w:t>
            </w:r>
            <w:r>
              <w:rPr>
                <w:rFonts w:ascii="Calibri" w:hAnsi="Calibri" w:cs="Calibri"/>
                <w:color w:val="000000"/>
              </w:rPr>
              <w:t>.4 hectares</w:t>
            </w:r>
            <w:r w:rsidR="008A5BD9">
              <w:rPr>
                <w:rFonts w:ascii="Calibri" w:hAnsi="Calibri" w:cs="Calibri"/>
                <w:color w:val="000000"/>
              </w:rPr>
              <w:t xml:space="preserve"> </w:t>
            </w:r>
          </w:p>
        </w:tc>
        <w:tc>
          <w:tcPr>
            <w:tcW w:w="1980" w:type="dxa"/>
            <w:tcBorders>
              <w:top w:val="nil"/>
              <w:left w:val="nil"/>
              <w:bottom w:val="single" w:sz="4" w:space="0" w:color="auto"/>
              <w:right w:val="single" w:sz="4" w:space="0" w:color="auto"/>
            </w:tcBorders>
            <w:shd w:val="clear" w:color="auto" w:fill="auto"/>
            <w:noWrap/>
            <w:vAlign w:val="bottom"/>
            <w:hideMark/>
          </w:tcPr>
          <w:p w14:paraId="1D4D5574" w14:textId="64CED5E6" w:rsidR="000D277E" w:rsidRDefault="000D277E" w:rsidP="000D277E">
            <w:pPr>
              <w:jc w:val="center"/>
              <w:rPr>
                <w:rFonts w:ascii="Calibri" w:hAnsi="Calibri" w:cs="Calibri"/>
                <w:color w:val="000000"/>
              </w:rPr>
            </w:pPr>
            <w:r>
              <w:rPr>
                <w:rFonts w:ascii="Calibri" w:hAnsi="Calibri" w:cs="Calibri"/>
                <w:color w:val="000000"/>
              </w:rPr>
              <w:t>$</w:t>
            </w:r>
            <w:r>
              <w:rPr>
                <w:rFonts w:ascii="Calibri" w:hAnsi="Calibri" w:cs="Calibri"/>
                <w:color w:val="000000"/>
              </w:rPr>
              <w:t xml:space="preserve"> </w:t>
            </w:r>
            <w:r>
              <w:rPr>
                <w:rFonts w:ascii="Calibri" w:hAnsi="Calibri" w:cs="Calibri"/>
                <w:color w:val="000000"/>
              </w:rPr>
              <w:t>13.78</w:t>
            </w:r>
          </w:p>
        </w:tc>
        <w:tc>
          <w:tcPr>
            <w:tcW w:w="1615" w:type="dxa"/>
            <w:tcBorders>
              <w:top w:val="nil"/>
              <w:left w:val="nil"/>
              <w:bottom w:val="single" w:sz="4" w:space="0" w:color="auto"/>
              <w:right w:val="single" w:sz="4" w:space="0" w:color="auto"/>
            </w:tcBorders>
            <w:shd w:val="clear" w:color="auto" w:fill="auto"/>
            <w:noWrap/>
            <w:vAlign w:val="bottom"/>
            <w:hideMark/>
          </w:tcPr>
          <w:p w14:paraId="3AD415B6" w14:textId="4665D973" w:rsidR="000D277E" w:rsidRDefault="000D277E" w:rsidP="000D277E">
            <w:pPr>
              <w:jc w:val="center"/>
              <w:rPr>
                <w:rFonts w:ascii="Calibri" w:hAnsi="Calibri" w:cs="Calibri"/>
                <w:color w:val="000000"/>
              </w:rPr>
            </w:pPr>
            <w:r>
              <w:rPr>
                <w:rFonts w:ascii="Calibri" w:hAnsi="Calibri" w:cs="Calibri"/>
                <w:color w:val="000000"/>
              </w:rPr>
              <w:t>monthly</w:t>
            </w:r>
          </w:p>
        </w:tc>
      </w:tr>
      <w:tr w:rsidR="000D277E" w14:paraId="17DDC374" w14:textId="77777777" w:rsidTr="000D277E">
        <w:trPr>
          <w:trHeight w:val="320"/>
        </w:trPr>
        <w:tc>
          <w:tcPr>
            <w:tcW w:w="5755" w:type="dxa"/>
            <w:tcBorders>
              <w:top w:val="nil"/>
              <w:left w:val="single" w:sz="4" w:space="0" w:color="auto"/>
              <w:bottom w:val="single" w:sz="4" w:space="0" w:color="auto"/>
              <w:right w:val="single" w:sz="4" w:space="0" w:color="auto"/>
            </w:tcBorders>
            <w:shd w:val="clear" w:color="auto" w:fill="auto"/>
            <w:noWrap/>
            <w:vAlign w:val="bottom"/>
            <w:hideMark/>
          </w:tcPr>
          <w:p w14:paraId="5D5B7D8D" w14:textId="258FF91B" w:rsidR="000D277E" w:rsidRDefault="000D277E">
            <w:pPr>
              <w:rPr>
                <w:rFonts w:ascii="Calibri" w:hAnsi="Calibri" w:cs="Calibri"/>
                <w:color w:val="000000"/>
              </w:rPr>
            </w:pPr>
            <w:r>
              <w:rPr>
                <w:rFonts w:ascii="Calibri" w:hAnsi="Calibri" w:cs="Calibri"/>
                <w:color w:val="000000"/>
              </w:rPr>
              <w:t xml:space="preserve">Institutional &lt; </w:t>
            </w:r>
            <w:r w:rsidR="008A5BD9">
              <w:rPr>
                <w:rFonts w:ascii="Calibri" w:hAnsi="Calibri" w:cs="Calibri"/>
                <w:color w:val="000000"/>
              </w:rPr>
              <w:t>0</w:t>
            </w:r>
            <w:r>
              <w:rPr>
                <w:rFonts w:ascii="Calibri" w:hAnsi="Calibri" w:cs="Calibri"/>
                <w:color w:val="000000"/>
              </w:rPr>
              <w:t>.4 hectares</w:t>
            </w:r>
          </w:p>
        </w:tc>
        <w:tc>
          <w:tcPr>
            <w:tcW w:w="1980" w:type="dxa"/>
            <w:tcBorders>
              <w:top w:val="nil"/>
              <w:left w:val="nil"/>
              <w:bottom w:val="single" w:sz="4" w:space="0" w:color="auto"/>
              <w:right w:val="single" w:sz="4" w:space="0" w:color="auto"/>
            </w:tcBorders>
            <w:shd w:val="clear" w:color="auto" w:fill="auto"/>
            <w:noWrap/>
            <w:vAlign w:val="bottom"/>
            <w:hideMark/>
          </w:tcPr>
          <w:p w14:paraId="19EC80D6" w14:textId="49D28747" w:rsidR="000D277E" w:rsidRDefault="000D277E" w:rsidP="000D277E">
            <w:pPr>
              <w:jc w:val="center"/>
              <w:rPr>
                <w:rFonts w:ascii="Calibri" w:hAnsi="Calibri" w:cs="Calibri"/>
                <w:color w:val="000000"/>
              </w:rPr>
            </w:pPr>
            <w:r>
              <w:rPr>
                <w:rFonts w:ascii="Calibri" w:hAnsi="Calibri" w:cs="Calibri"/>
                <w:color w:val="000000"/>
              </w:rPr>
              <w:t>$</w:t>
            </w:r>
            <w:r>
              <w:rPr>
                <w:rFonts w:ascii="Calibri" w:hAnsi="Calibri" w:cs="Calibri"/>
                <w:color w:val="000000"/>
              </w:rPr>
              <w:t xml:space="preserve"> </w:t>
            </w:r>
            <w:r>
              <w:rPr>
                <w:rFonts w:ascii="Calibri" w:hAnsi="Calibri" w:cs="Calibri"/>
                <w:color w:val="000000"/>
              </w:rPr>
              <w:t>13.66</w:t>
            </w:r>
          </w:p>
        </w:tc>
        <w:tc>
          <w:tcPr>
            <w:tcW w:w="1615" w:type="dxa"/>
            <w:tcBorders>
              <w:top w:val="nil"/>
              <w:left w:val="nil"/>
              <w:bottom w:val="single" w:sz="4" w:space="0" w:color="auto"/>
              <w:right w:val="single" w:sz="4" w:space="0" w:color="auto"/>
            </w:tcBorders>
            <w:shd w:val="clear" w:color="auto" w:fill="auto"/>
            <w:noWrap/>
            <w:vAlign w:val="bottom"/>
            <w:hideMark/>
          </w:tcPr>
          <w:p w14:paraId="211759D3" w14:textId="0D0736F5" w:rsidR="000D277E" w:rsidRDefault="000D277E" w:rsidP="000D277E">
            <w:pPr>
              <w:jc w:val="center"/>
              <w:rPr>
                <w:rFonts w:ascii="Calibri" w:hAnsi="Calibri" w:cs="Calibri"/>
                <w:color w:val="000000"/>
              </w:rPr>
            </w:pPr>
            <w:r>
              <w:rPr>
                <w:rFonts w:ascii="Calibri" w:hAnsi="Calibri" w:cs="Calibri"/>
                <w:color w:val="000000"/>
              </w:rPr>
              <w:t>monthly</w:t>
            </w:r>
          </w:p>
        </w:tc>
      </w:tr>
      <w:tr w:rsidR="000D277E" w14:paraId="20A6091F" w14:textId="77777777" w:rsidTr="000D277E">
        <w:trPr>
          <w:trHeight w:val="320"/>
        </w:trPr>
        <w:tc>
          <w:tcPr>
            <w:tcW w:w="5755" w:type="dxa"/>
            <w:tcBorders>
              <w:top w:val="nil"/>
              <w:left w:val="single" w:sz="4" w:space="0" w:color="auto"/>
              <w:bottom w:val="single" w:sz="4" w:space="0" w:color="auto"/>
              <w:right w:val="single" w:sz="4" w:space="0" w:color="auto"/>
            </w:tcBorders>
            <w:shd w:val="clear" w:color="auto" w:fill="auto"/>
            <w:noWrap/>
            <w:vAlign w:val="bottom"/>
            <w:hideMark/>
          </w:tcPr>
          <w:p w14:paraId="319FFDC7" w14:textId="683B2B9C" w:rsidR="000D277E" w:rsidRDefault="000D277E">
            <w:pPr>
              <w:rPr>
                <w:rFonts w:ascii="Calibri" w:hAnsi="Calibri" w:cs="Calibri"/>
                <w:color w:val="000000"/>
              </w:rPr>
            </w:pPr>
            <w:r>
              <w:rPr>
                <w:rFonts w:ascii="Calibri" w:hAnsi="Calibri" w:cs="Calibri"/>
                <w:color w:val="000000"/>
              </w:rPr>
              <w:t xml:space="preserve">Commercial/Industrial &lt; </w:t>
            </w:r>
            <w:r w:rsidR="008A5BD9">
              <w:rPr>
                <w:rFonts w:ascii="Calibri" w:hAnsi="Calibri" w:cs="Calibri"/>
                <w:color w:val="000000"/>
              </w:rPr>
              <w:t>0</w:t>
            </w:r>
            <w:r>
              <w:rPr>
                <w:rFonts w:ascii="Calibri" w:hAnsi="Calibri" w:cs="Calibri"/>
                <w:color w:val="000000"/>
              </w:rPr>
              <w:t>.4 hectares</w:t>
            </w:r>
          </w:p>
        </w:tc>
        <w:tc>
          <w:tcPr>
            <w:tcW w:w="1980" w:type="dxa"/>
            <w:tcBorders>
              <w:top w:val="nil"/>
              <w:left w:val="nil"/>
              <w:bottom w:val="single" w:sz="4" w:space="0" w:color="auto"/>
              <w:right w:val="single" w:sz="4" w:space="0" w:color="auto"/>
            </w:tcBorders>
            <w:shd w:val="clear" w:color="auto" w:fill="auto"/>
            <w:noWrap/>
            <w:vAlign w:val="bottom"/>
            <w:hideMark/>
          </w:tcPr>
          <w:p w14:paraId="61D77D74" w14:textId="298FA5C5" w:rsidR="000D277E" w:rsidRDefault="000D277E" w:rsidP="000D277E">
            <w:pPr>
              <w:jc w:val="center"/>
              <w:rPr>
                <w:rFonts w:ascii="Calibri" w:hAnsi="Calibri" w:cs="Calibri"/>
                <w:color w:val="000000"/>
              </w:rPr>
            </w:pPr>
            <w:r>
              <w:rPr>
                <w:rFonts w:ascii="Calibri" w:hAnsi="Calibri" w:cs="Calibri"/>
                <w:color w:val="000000"/>
              </w:rPr>
              <w:t>$</w:t>
            </w:r>
            <w:r>
              <w:rPr>
                <w:rFonts w:ascii="Calibri" w:hAnsi="Calibri" w:cs="Calibri"/>
                <w:color w:val="000000"/>
              </w:rPr>
              <w:t xml:space="preserve"> </w:t>
            </w:r>
            <w:r>
              <w:rPr>
                <w:rFonts w:ascii="Calibri" w:hAnsi="Calibri" w:cs="Calibri"/>
                <w:color w:val="000000"/>
              </w:rPr>
              <w:t>14.78</w:t>
            </w:r>
          </w:p>
        </w:tc>
        <w:tc>
          <w:tcPr>
            <w:tcW w:w="1615" w:type="dxa"/>
            <w:tcBorders>
              <w:top w:val="nil"/>
              <w:left w:val="nil"/>
              <w:bottom w:val="single" w:sz="4" w:space="0" w:color="auto"/>
              <w:right w:val="single" w:sz="4" w:space="0" w:color="auto"/>
            </w:tcBorders>
            <w:shd w:val="clear" w:color="auto" w:fill="auto"/>
            <w:noWrap/>
            <w:vAlign w:val="bottom"/>
            <w:hideMark/>
          </w:tcPr>
          <w:p w14:paraId="22F4B3E4" w14:textId="0C48C210" w:rsidR="000D277E" w:rsidRDefault="000D277E" w:rsidP="000D277E">
            <w:pPr>
              <w:jc w:val="center"/>
              <w:rPr>
                <w:rFonts w:ascii="Calibri" w:hAnsi="Calibri" w:cs="Calibri"/>
                <w:color w:val="000000"/>
              </w:rPr>
            </w:pPr>
            <w:r>
              <w:rPr>
                <w:rFonts w:ascii="Calibri" w:hAnsi="Calibri" w:cs="Calibri"/>
                <w:color w:val="000000"/>
              </w:rPr>
              <w:t>monthly</w:t>
            </w:r>
          </w:p>
        </w:tc>
      </w:tr>
      <w:tr w:rsidR="000D277E" w14:paraId="081907E9" w14:textId="77777777" w:rsidTr="000D277E">
        <w:trPr>
          <w:trHeight w:val="320"/>
        </w:trPr>
        <w:tc>
          <w:tcPr>
            <w:tcW w:w="5755" w:type="dxa"/>
            <w:tcBorders>
              <w:top w:val="nil"/>
              <w:left w:val="single" w:sz="4" w:space="0" w:color="auto"/>
              <w:bottom w:val="single" w:sz="4" w:space="0" w:color="auto"/>
              <w:right w:val="single" w:sz="4" w:space="0" w:color="auto"/>
            </w:tcBorders>
            <w:shd w:val="clear" w:color="auto" w:fill="auto"/>
            <w:noWrap/>
            <w:vAlign w:val="bottom"/>
            <w:hideMark/>
          </w:tcPr>
          <w:p w14:paraId="1CB8B531" w14:textId="4104DB4F" w:rsidR="000D277E" w:rsidRDefault="000D277E">
            <w:pPr>
              <w:rPr>
                <w:rFonts w:ascii="Calibri" w:hAnsi="Calibri" w:cs="Calibri"/>
                <w:color w:val="000000"/>
              </w:rPr>
            </w:pPr>
            <w:r>
              <w:rPr>
                <w:rFonts w:ascii="Calibri" w:hAnsi="Calibri" w:cs="Calibri"/>
                <w:color w:val="000000"/>
              </w:rPr>
              <w:t xml:space="preserve">Commercial/Institutional/Residential &gt; </w:t>
            </w:r>
            <w:r w:rsidR="008A5BD9">
              <w:rPr>
                <w:rFonts w:ascii="Calibri" w:hAnsi="Calibri" w:cs="Calibri"/>
                <w:color w:val="000000"/>
              </w:rPr>
              <w:t>0</w:t>
            </w:r>
            <w:r>
              <w:rPr>
                <w:rFonts w:ascii="Calibri" w:hAnsi="Calibri" w:cs="Calibri"/>
                <w:color w:val="000000"/>
              </w:rPr>
              <w:t>.4 hectares</w:t>
            </w:r>
          </w:p>
        </w:tc>
        <w:tc>
          <w:tcPr>
            <w:tcW w:w="1980" w:type="dxa"/>
            <w:tcBorders>
              <w:top w:val="nil"/>
              <w:left w:val="nil"/>
              <w:bottom w:val="single" w:sz="4" w:space="0" w:color="auto"/>
              <w:right w:val="single" w:sz="4" w:space="0" w:color="auto"/>
            </w:tcBorders>
            <w:shd w:val="clear" w:color="auto" w:fill="auto"/>
            <w:noWrap/>
            <w:vAlign w:val="bottom"/>
            <w:hideMark/>
          </w:tcPr>
          <w:p w14:paraId="750BE4DA" w14:textId="46795D01" w:rsidR="000D277E" w:rsidRDefault="000D277E" w:rsidP="000D277E">
            <w:pPr>
              <w:jc w:val="center"/>
              <w:rPr>
                <w:rFonts w:ascii="Calibri" w:hAnsi="Calibri" w:cs="Calibri"/>
                <w:color w:val="000000"/>
              </w:rPr>
            </w:pPr>
            <w:r>
              <w:rPr>
                <w:rFonts w:ascii="Calibri" w:hAnsi="Calibri" w:cs="Calibri"/>
                <w:color w:val="000000"/>
              </w:rPr>
              <w:t>$</w:t>
            </w:r>
            <w:r>
              <w:rPr>
                <w:rFonts w:ascii="Calibri" w:hAnsi="Calibri" w:cs="Calibri"/>
                <w:color w:val="000000"/>
              </w:rPr>
              <w:t xml:space="preserve"> </w:t>
            </w:r>
            <w:r>
              <w:rPr>
                <w:rFonts w:ascii="Calibri" w:hAnsi="Calibri" w:cs="Calibri"/>
                <w:color w:val="000000"/>
              </w:rPr>
              <w:t>75.12</w:t>
            </w:r>
          </w:p>
        </w:tc>
        <w:tc>
          <w:tcPr>
            <w:tcW w:w="1615" w:type="dxa"/>
            <w:tcBorders>
              <w:top w:val="nil"/>
              <w:left w:val="nil"/>
              <w:bottom w:val="single" w:sz="4" w:space="0" w:color="auto"/>
              <w:right w:val="single" w:sz="4" w:space="0" w:color="auto"/>
            </w:tcBorders>
            <w:shd w:val="clear" w:color="auto" w:fill="auto"/>
            <w:noWrap/>
            <w:vAlign w:val="bottom"/>
            <w:hideMark/>
          </w:tcPr>
          <w:p w14:paraId="6457670B" w14:textId="77777777" w:rsidR="000D277E" w:rsidRDefault="000D277E" w:rsidP="000D277E">
            <w:pPr>
              <w:jc w:val="center"/>
              <w:rPr>
                <w:rFonts w:ascii="Calibri" w:hAnsi="Calibri" w:cs="Calibri"/>
                <w:color w:val="000000"/>
              </w:rPr>
            </w:pPr>
            <w:r>
              <w:rPr>
                <w:rFonts w:ascii="Calibri" w:hAnsi="Calibri" w:cs="Calibri"/>
                <w:color w:val="000000"/>
              </w:rPr>
              <w:t>per hectare</w:t>
            </w:r>
          </w:p>
        </w:tc>
      </w:tr>
      <w:tr w:rsidR="000D277E" w14:paraId="24AE8C95" w14:textId="77777777" w:rsidTr="000D277E">
        <w:trPr>
          <w:trHeight w:val="320"/>
        </w:trPr>
        <w:tc>
          <w:tcPr>
            <w:tcW w:w="5755" w:type="dxa"/>
            <w:tcBorders>
              <w:top w:val="nil"/>
              <w:left w:val="single" w:sz="4" w:space="0" w:color="auto"/>
              <w:bottom w:val="single" w:sz="4" w:space="0" w:color="auto"/>
              <w:right w:val="single" w:sz="4" w:space="0" w:color="auto"/>
            </w:tcBorders>
            <w:shd w:val="clear" w:color="auto" w:fill="auto"/>
            <w:noWrap/>
            <w:vAlign w:val="bottom"/>
            <w:hideMark/>
          </w:tcPr>
          <w:p w14:paraId="4351333C" w14:textId="725E4528" w:rsidR="000D277E" w:rsidRDefault="000D277E">
            <w:pPr>
              <w:rPr>
                <w:rFonts w:ascii="Calibri" w:hAnsi="Calibri" w:cs="Calibri"/>
                <w:color w:val="000000"/>
              </w:rPr>
            </w:pPr>
            <w:r>
              <w:rPr>
                <w:rFonts w:ascii="Calibri" w:hAnsi="Calibri" w:cs="Calibri"/>
                <w:color w:val="000000"/>
              </w:rPr>
              <w:t xml:space="preserve">Industrial &gt; </w:t>
            </w:r>
            <w:r w:rsidR="008A5BD9">
              <w:rPr>
                <w:rFonts w:ascii="Calibri" w:hAnsi="Calibri" w:cs="Calibri"/>
                <w:color w:val="000000"/>
              </w:rPr>
              <w:t>0</w:t>
            </w:r>
            <w:r>
              <w:rPr>
                <w:rFonts w:ascii="Calibri" w:hAnsi="Calibri" w:cs="Calibri"/>
                <w:color w:val="000000"/>
              </w:rPr>
              <w:t>.4 hectares</w:t>
            </w:r>
          </w:p>
        </w:tc>
        <w:tc>
          <w:tcPr>
            <w:tcW w:w="1980" w:type="dxa"/>
            <w:tcBorders>
              <w:top w:val="nil"/>
              <w:left w:val="nil"/>
              <w:bottom w:val="single" w:sz="4" w:space="0" w:color="auto"/>
              <w:right w:val="single" w:sz="4" w:space="0" w:color="auto"/>
            </w:tcBorders>
            <w:shd w:val="clear" w:color="auto" w:fill="auto"/>
            <w:noWrap/>
            <w:vAlign w:val="bottom"/>
            <w:hideMark/>
          </w:tcPr>
          <w:p w14:paraId="1D276A7A" w14:textId="2FAC56F6" w:rsidR="000D277E" w:rsidRDefault="000D277E" w:rsidP="000D277E">
            <w:pPr>
              <w:jc w:val="center"/>
              <w:rPr>
                <w:rFonts w:ascii="Calibri" w:hAnsi="Calibri" w:cs="Calibri"/>
                <w:color w:val="000000"/>
              </w:rPr>
            </w:pPr>
            <w:r>
              <w:rPr>
                <w:rFonts w:ascii="Calibri" w:hAnsi="Calibri" w:cs="Calibri"/>
                <w:color w:val="000000"/>
              </w:rPr>
              <w:t>$</w:t>
            </w:r>
            <w:r>
              <w:rPr>
                <w:rFonts w:ascii="Calibri" w:hAnsi="Calibri" w:cs="Calibri"/>
                <w:color w:val="000000"/>
              </w:rPr>
              <w:t xml:space="preserve"> </w:t>
            </w:r>
            <w:r>
              <w:rPr>
                <w:rFonts w:ascii="Calibri" w:hAnsi="Calibri" w:cs="Calibri"/>
                <w:color w:val="000000"/>
              </w:rPr>
              <w:t>112.68</w:t>
            </w:r>
          </w:p>
        </w:tc>
        <w:tc>
          <w:tcPr>
            <w:tcW w:w="1615" w:type="dxa"/>
            <w:tcBorders>
              <w:top w:val="nil"/>
              <w:left w:val="nil"/>
              <w:bottom w:val="single" w:sz="4" w:space="0" w:color="auto"/>
              <w:right w:val="single" w:sz="4" w:space="0" w:color="auto"/>
            </w:tcBorders>
            <w:shd w:val="clear" w:color="auto" w:fill="auto"/>
            <w:noWrap/>
            <w:vAlign w:val="bottom"/>
            <w:hideMark/>
          </w:tcPr>
          <w:p w14:paraId="0C2C9075" w14:textId="77777777" w:rsidR="000D277E" w:rsidRDefault="000D277E" w:rsidP="000D277E">
            <w:pPr>
              <w:jc w:val="center"/>
              <w:rPr>
                <w:rFonts w:ascii="Calibri" w:hAnsi="Calibri" w:cs="Calibri"/>
                <w:color w:val="000000"/>
              </w:rPr>
            </w:pPr>
            <w:r>
              <w:rPr>
                <w:rFonts w:ascii="Calibri" w:hAnsi="Calibri" w:cs="Calibri"/>
                <w:color w:val="000000"/>
              </w:rPr>
              <w:t>per hectare</w:t>
            </w:r>
          </w:p>
        </w:tc>
      </w:tr>
    </w:tbl>
    <w:p w14:paraId="6D72826A" w14:textId="76AE3415" w:rsidR="000D277E" w:rsidRDefault="008A5BD9" w:rsidP="008A5BD9">
      <w:r>
        <w:t>* 0.4 hectares ~ 1 acre</w:t>
      </w:r>
    </w:p>
    <w:p w14:paraId="645E67F3" w14:textId="77777777" w:rsidR="008A5BD9" w:rsidRDefault="008A5BD9" w:rsidP="008A5BD9"/>
    <w:p w14:paraId="3B62ECA7" w14:textId="28DBD0B0" w:rsidR="008A5BD9" w:rsidRDefault="008A5BD9" w:rsidP="008A5BD9">
      <w:pPr>
        <w:pStyle w:val="Heading3"/>
      </w:pPr>
      <w:r w:rsidRPr="00E722F3">
        <w:t xml:space="preserve">Exhibit </w:t>
      </w:r>
      <w:r>
        <w:t>5</w:t>
      </w:r>
      <w:r w:rsidRPr="00E722F3">
        <w:t xml:space="preserve"> – </w:t>
      </w:r>
      <w:r>
        <w:t>Institutional vs Residential Land Area Use</w:t>
      </w:r>
    </w:p>
    <w:p w14:paraId="6C23FB0C" w14:textId="77777777" w:rsidR="008A5BD9" w:rsidRDefault="008A5BD9" w:rsidP="008A5BD9"/>
    <w:p w14:paraId="23E3177A" w14:textId="13603347" w:rsidR="007E22C7" w:rsidRPr="007E22C7" w:rsidRDefault="008A5BD9" w:rsidP="007E22C7">
      <w:r>
        <w:rPr>
          <w:noProof/>
        </w:rPr>
        <w:drawing>
          <wp:inline distT="0" distB="0" distL="0" distR="0" wp14:anchorId="6C9BD4AD" wp14:editId="06E63855">
            <wp:extent cx="4495267" cy="2919042"/>
            <wp:effectExtent l="0" t="0" r="635" b="2540"/>
            <wp:docPr id="1573245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45518" name="Picture 15732455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6808" cy="2926536"/>
                    </a:xfrm>
                    <a:prstGeom prst="rect">
                      <a:avLst/>
                    </a:prstGeom>
                  </pic:spPr>
                </pic:pic>
              </a:graphicData>
            </a:graphic>
          </wp:inline>
        </w:drawing>
      </w:r>
    </w:p>
    <w:sectPr w:rsidR="007E22C7" w:rsidRPr="007E22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13A0C" w14:textId="77777777" w:rsidR="00AE3505" w:rsidRDefault="00AE3505" w:rsidP="00D33D9D">
      <w:r>
        <w:separator/>
      </w:r>
    </w:p>
  </w:endnote>
  <w:endnote w:type="continuationSeparator" w:id="0">
    <w:p w14:paraId="576954C7" w14:textId="77777777" w:rsidR="00AE3505" w:rsidRDefault="00AE3505" w:rsidP="00D33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6D5D6" w14:textId="77777777" w:rsidR="00AE3505" w:rsidRDefault="00AE3505" w:rsidP="00D33D9D">
      <w:r>
        <w:separator/>
      </w:r>
    </w:p>
  </w:footnote>
  <w:footnote w:type="continuationSeparator" w:id="0">
    <w:p w14:paraId="61B54895" w14:textId="77777777" w:rsidR="00AE3505" w:rsidRDefault="00AE3505" w:rsidP="00D33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110C" w14:textId="19541F84" w:rsidR="00D33D9D" w:rsidRPr="00D33D9D" w:rsidRDefault="00D33D9D" w:rsidP="00D33D9D">
    <w:pPr>
      <w:jc w:val="right"/>
    </w:pPr>
    <w:r w:rsidRPr="00D33D9D">
      <w:t>Ashley Nilson</w:t>
    </w:r>
  </w:p>
  <w:p w14:paraId="04D0E6AB" w14:textId="0BDE057E" w:rsidR="00D33D9D" w:rsidRPr="00D33D9D" w:rsidRDefault="00D33D9D" w:rsidP="00D33D9D">
    <w:pPr>
      <w:jc w:val="right"/>
    </w:pPr>
    <w:r w:rsidRPr="00D33D9D">
      <w:t>GSC</w:t>
    </w:r>
    <w:r w:rsidR="00AB0A9A">
      <w:t>M</w:t>
    </w:r>
    <w:r w:rsidRPr="00D33D9D">
      <w:t xml:space="preserve"> </w:t>
    </w:r>
    <w:r w:rsidR="00AB0A9A">
      <w:t>512</w:t>
    </w:r>
  </w:p>
  <w:p w14:paraId="66F5F550" w14:textId="59B7159F" w:rsidR="00D33D9D" w:rsidRPr="00D33D9D" w:rsidRDefault="007E22C7" w:rsidP="00D33D9D">
    <w:pPr>
      <w:jc w:val="right"/>
    </w:pPr>
    <w:r>
      <w:t>Final Case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F603F"/>
    <w:multiLevelType w:val="hybridMultilevel"/>
    <w:tmpl w:val="1F742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35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AB"/>
    <w:rsid w:val="00054CF8"/>
    <w:rsid w:val="00084413"/>
    <w:rsid w:val="000B0E77"/>
    <w:rsid w:val="000D277E"/>
    <w:rsid w:val="000E7936"/>
    <w:rsid w:val="000F6B23"/>
    <w:rsid w:val="0010034B"/>
    <w:rsid w:val="00102094"/>
    <w:rsid w:val="00123421"/>
    <w:rsid w:val="00200796"/>
    <w:rsid w:val="00261251"/>
    <w:rsid w:val="00274678"/>
    <w:rsid w:val="002D25EB"/>
    <w:rsid w:val="003003AB"/>
    <w:rsid w:val="003236C1"/>
    <w:rsid w:val="00333B13"/>
    <w:rsid w:val="003B273E"/>
    <w:rsid w:val="003E6C93"/>
    <w:rsid w:val="00436BF7"/>
    <w:rsid w:val="00486C06"/>
    <w:rsid w:val="0050173E"/>
    <w:rsid w:val="00515DC4"/>
    <w:rsid w:val="005F7757"/>
    <w:rsid w:val="00603740"/>
    <w:rsid w:val="0064652B"/>
    <w:rsid w:val="006D4FDA"/>
    <w:rsid w:val="00751BF1"/>
    <w:rsid w:val="007746B3"/>
    <w:rsid w:val="007E22C7"/>
    <w:rsid w:val="0080041D"/>
    <w:rsid w:val="00821D66"/>
    <w:rsid w:val="008A5794"/>
    <w:rsid w:val="008A5BD9"/>
    <w:rsid w:val="008B1424"/>
    <w:rsid w:val="00926478"/>
    <w:rsid w:val="009719EE"/>
    <w:rsid w:val="00972F35"/>
    <w:rsid w:val="009D2F4D"/>
    <w:rsid w:val="00A9055A"/>
    <w:rsid w:val="00AB0A9A"/>
    <w:rsid w:val="00AE3505"/>
    <w:rsid w:val="00AE4C48"/>
    <w:rsid w:val="00AF0B0F"/>
    <w:rsid w:val="00B126FA"/>
    <w:rsid w:val="00BD4B6D"/>
    <w:rsid w:val="00CF74CF"/>
    <w:rsid w:val="00D233B8"/>
    <w:rsid w:val="00D33D9D"/>
    <w:rsid w:val="00D85718"/>
    <w:rsid w:val="00D8660A"/>
    <w:rsid w:val="00DC1321"/>
    <w:rsid w:val="00DC2790"/>
    <w:rsid w:val="00DC38CB"/>
    <w:rsid w:val="00DD42A1"/>
    <w:rsid w:val="00DF14A7"/>
    <w:rsid w:val="00E722F3"/>
    <w:rsid w:val="00F30678"/>
    <w:rsid w:val="00F5787A"/>
    <w:rsid w:val="00FC4941"/>
    <w:rsid w:val="00FD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E53B"/>
  <w15:chartTrackingRefBased/>
  <w15:docId w15:val="{05698286-69EE-48EB-AB11-52325D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77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33D9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C93"/>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790"/>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D33D9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33D9D"/>
  </w:style>
  <w:style w:type="paragraph" w:styleId="Footer">
    <w:name w:val="footer"/>
    <w:basedOn w:val="Normal"/>
    <w:link w:val="FooterChar"/>
    <w:uiPriority w:val="99"/>
    <w:unhideWhenUsed/>
    <w:rsid w:val="00D33D9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33D9D"/>
  </w:style>
  <w:style w:type="paragraph" w:styleId="Title">
    <w:name w:val="Title"/>
    <w:basedOn w:val="Normal"/>
    <w:next w:val="Normal"/>
    <w:link w:val="TitleChar"/>
    <w:uiPriority w:val="10"/>
    <w:qFormat/>
    <w:rsid w:val="00D33D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9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3D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C93"/>
    <w:rPr>
      <w:rFonts w:asciiTheme="majorHAnsi" w:eastAsiaTheme="majorEastAsia" w:hAnsiTheme="majorHAnsi" w:cstheme="majorBidi"/>
      <w:color w:val="1F3763" w:themeColor="accent1" w:themeShade="7F"/>
      <w:sz w:val="24"/>
      <w:szCs w:val="24"/>
    </w:rPr>
  </w:style>
  <w:style w:type="character" w:customStyle="1" w:styleId="textlayer--absolute">
    <w:name w:val="textlayer--absolute"/>
    <w:basedOn w:val="DefaultParagraphFont"/>
    <w:rsid w:val="007E2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0241">
      <w:bodyDiv w:val="1"/>
      <w:marLeft w:val="0"/>
      <w:marRight w:val="0"/>
      <w:marTop w:val="0"/>
      <w:marBottom w:val="0"/>
      <w:divBdr>
        <w:top w:val="none" w:sz="0" w:space="0" w:color="auto"/>
        <w:left w:val="none" w:sz="0" w:space="0" w:color="auto"/>
        <w:bottom w:val="none" w:sz="0" w:space="0" w:color="auto"/>
        <w:right w:val="none" w:sz="0" w:space="0" w:color="auto"/>
      </w:divBdr>
    </w:div>
    <w:div w:id="115952888">
      <w:bodyDiv w:val="1"/>
      <w:marLeft w:val="0"/>
      <w:marRight w:val="0"/>
      <w:marTop w:val="0"/>
      <w:marBottom w:val="0"/>
      <w:divBdr>
        <w:top w:val="none" w:sz="0" w:space="0" w:color="auto"/>
        <w:left w:val="none" w:sz="0" w:space="0" w:color="auto"/>
        <w:bottom w:val="none" w:sz="0" w:space="0" w:color="auto"/>
        <w:right w:val="none" w:sz="0" w:space="0" w:color="auto"/>
      </w:divBdr>
    </w:div>
    <w:div w:id="265768089">
      <w:bodyDiv w:val="1"/>
      <w:marLeft w:val="0"/>
      <w:marRight w:val="0"/>
      <w:marTop w:val="0"/>
      <w:marBottom w:val="0"/>
      <w:divBdr>
        <w:top w:val="none" w:sz="0" w:space="0" w:color="auto"/>
        <w:left w:val="none" w:sz="0" w:space="0" w:color="auto"/>
        <w:bottom w:val="none" w:sz="0" w:space="0" w:color="auto"/>
        <w:right w:val="none" w:sz="0" w:space="0" w:color="auto"/>
      </w:divBdr>
    </w:div>
    <w:div w:id="316686958">
      <w:bodyDiv w:val="1"/>
      <w:marLeft w:val="0"/>
      <w:marRight w:val="0"/>
      <w:marTop w:val="0"/>
      <w:marBottom w:val="0"/>
      <w:divBdr>
        <w:top w:val="none" w:sz="0" w:space="0" w:color="auto"/>
        <w:left w:val="none" w:sz="0" w:space="0" w:color="auto"/>
        <w:bottom w:val="none" w:sz="0" w:space="0" w:color="auto"/>
        <w:right w:val="none" w:sz="0" w:space="0" w:color="auto"/>
      </w:divBdr>
    </w:div>
    <w:div w:id="353725269">
      <w:bodyDiv w:val="1"/>
      <w:marLeft w:val="0"/>
      <w:marRight w:val="0"/>
      <w:marTop w:val="0"/>
      <w:marBottom w:val="0"/>
      <w:divBdr>
        <w:top w:val="none" w:sz="0" w:space="0" w:color="auto"/>
        <w:left w:val="none" w:sz="0" w:space="0" w:color="auto"/>
        <w:bottom w:val="none" w:sz="0" w:space="0" w:color="auto"/>
        <w:right w:val="none" w:sz="0" w:space="0" w:color="auto"/>
      </w:divBdr>
    </w:div>
    <w:div w:id="393091973">
      <w:bodyDiv w:val="1"/>
      <w:marLeft w:val="0"/>
      <w:marRight w:val="0"/>
      <w:marTop w:val="0"/>
      <w:marBottom w:val="0"/>
      <w:divBdr>
        <w:top w:val="none" w:sz="0" w:space="0" w:color="auto"/>
        <w:left w:val="none" w:sz="0" w:space="0" w:color="auto"/>
        <w:bottom w:val="none" w:sz="0" w:space="0" w:color="auto"/>
        <w:right w:val="none" w:sz="0" w:space="0" w:color="auto"/>
      </w:divBdr>
    </w:div>
    <w:div w:id="497230510">
      <w:bodyDiv w:val="1"/>
      <w:marLeft w:val="0"/>
      <w:marRight w:val="0"/>
      <w:marTop w:val="0"/>
      <w:marBottom w:val="0"/>
      <w:divBdr>
        <w:top w:val="none" w:sz="0" w:space="0" w:color="auto"/>
        <w:left w:val="none" w:sz="0" w:space="0" w:color="auto"/>
        <w:bottom w:val="none" w:sz="0" w:space="0" w:color="auto"/>
        <w:right w:val="none" w:sz="0" w:space="0" w:color="auto"/>
      </w:divBdr>
    </w:div>
    <w:div w:id="525755319">
      <w:bodyDiv w:val="1"/>
      <w:marLeft w:val="0"/>
      <w:marRight w:val="0"/>
      <w:marTop w:val="0"/>
      <w:marBottom w:val="0"/>
      <w:divBdr>
        <w:top w:val="none" w:sz="0" w:space="0" w:color="auto"/>
        <w:left w:val="none" w:sz="0" w:space="0" w:color="auto"/>
        <w:bottom w:val="none" w:sz="0" w:space="0" w:color="auto"/>
        <w:right w:val="none" w:sz="0" w:space="0" w:color="auto"/>
      </w:divBdr>
    </w:div>
    <w:div w:id="527523860">
      <w:bodyDiv w:val="1"/>
      <w:marLeft w:val="0"/>
      <w:marRight w:val="0"/>
      <w:marTop w:val="0"/>
      <w:marBottom w:val="0"/>
      <w:divBdr>
        <w:top w:val="none" w:sz="0" w:space="0" w:color="auto"/>
        <w:left w:val="none" w:sz="0" w:space="0" w:color="auto"/>
        <w:bottom w:val="none" w:sz="0" w:space="0" w:color="auto"/>
        <w:right w:val="none" w:sz="0" w:space="0" w:color="auto"/>
      </w:divBdr>
    </w:div>
    <w:div w:id="670982915">
      <w:bodyDiv w:val="1"/>
      <w:marLeft w:val="0"/>
      <w:marRight w:val="0"/>
      <w:marTop w:val="0"/>
      <w:marBottom w:val="0"/>
      <w:divBdr>
        <w:top w:val="none" w:sz="0" w:space="0" w:color="auto"/>
        <w:left w:val="none" w:sz="0" w:space="0" w:color="auto"/>
        <w:bottom w:val="none" w:sz="0" w:space="0" w:color="auto"/>
        <w:right w:val="none" w:sz="0" w:space="0" w:color="auto"/>
      </w:divBdr>
    </w:div>
    <w:div w:id="674650194">
      <w:bodyDiv w:val="1"/>
      <w:marLeft w:val="0"/>
      <w:marRight w:val="0"/>
      <w:marTop w:val="0"/>
      <w:marBottom w:val="0"/>
      <w:divBdr>
        <w:top w:val="none" w:sz="0" w:space="0" w:color="auto"/>
        <w:left w:val="none" w:sz="0" w:space="0" w:color="auto"/>
        <w:bottom w:val="none" w:sz="0" w:space="0" w:color="auto"/>
        <w:right w:val="none" w:sz="0" w:space="0" w:color="auto"/>
      </w:divBdr>
    </w:div>
    <w:div w:id="976766183">
      <w:bodyDiv w:val="1"/>
      <w:marLeft w:val="0"/>
      <w:marRight w:val="0"/>
      <w:marTop w:val="0"/>
      <w:marBottom w:val="0"/>
      <w:divBdr>
        <w:top w:val="none" w:sz="0" w:space="0" w:color="auto"/>
        <w:left w:val="none" w:sz="0" w:space="0" w:color="auto"/>
        <w:bottom w:val="none" w:sz="0" w:space="0" w:color="auto"/>
        <w:right w:val="none" w:sz="0" w:space="0" w:color="auto"/>
      </w:divBdr>
    </w:div>
    <w:div w:id="1047681090">
      <w:bodyDiv w:val="1"/>
      <w:marLeft w:val="0"/>
      <w:marRight w:val="0"/>
      <w:marTop w:val="0"/>
      <w:marBottom w:val="0"/>
      <w:divBdr>
        <w:top w:val="none" w:sz="0" w:space="0" w:color="auto"/>
        <w:left w:val="none" w:sz="0" w:space="0" w:color="auto"/>
        <w:bottom w:val="none" w:sz="0" w:space="0" w:color="auto"/>
        <w:right w:val="none" w:sz="0" w:space="0" w:color="auto"/>
      </w:divBdr>
    </w:div>
    <w:div w:id="1098676392">
      <w:bodyDiv w:val="1"/>
      <w:marLeft w:val="0"/>
      <w:marRight w:val="0"/>
      <w:marTop w:val="0"/>
      <w:marBottom w:val="0"/>
      <w:divBdr>
        <w:top w:val="none" w:sz="0" w:space="0" w:color="auto"/>
        <w:left w:val="none" w:sz="0" w:space="0" w:color="auto"/>
        <w:bottom w:val="none" w:sz="0" w:space="0" w:color="auto"/>
        <w:right w:val="none" w:sz="0" w:space="0" w:color="auto"/>
      </w:divBdr>
    </w:div>
    <w:div w:id="1140924442">
      <w:bodyDiv w:val="1"/>
      <w:marLeft w:val="0"/>
      <w:marRight w:val="0"/>
      <w:marTop w:val="0"/>
      <w:marBottom w:val="0"/>
      <w:divBdr>
        <w:top w:val="none" w:sz="0" w:space="0" w:color="auto"/>
        <w:left w:val="none" w:sz="0" w:space="0" w:color="auto"/>
        <w:bottom w:val="none" w:sz="0" w:space="0" w:color="auto"/>
        <w:right w:val="none" w:sz="0" w:space="0" w:color="auto"/>
      </w:divBdr>
    </w:div>
    <w:div w:id="1226797759">
      <w:bodyDiv w:val="1"/>
      <w:marLeft w:val="0"/>
      <w:marRight w:val="0"/>
      <w:marTop w:val="0"/>
      <w:marBottom w:val="0"/>
      <w:divBdr>
        <w:top w:val="none" w:sz="0" w:space="0" w:color="auto"/>
        <w:left w:val="none" w:sz="0" w:space="0" w:color="auto"/>
        <w:bottom w:val="none" w:sz="0" w:space="0" w:color="auto"/>
        <w:right w:val="none" w:sz="0" w:space="0" w:color="auto"/>
      </w:divBdr>
    </w:div>
    <w:div w:id="1238319119">
      <w:bodyDiv w:val="1"/>
      <w:marLeft w:val="0"/>
      <w:marRight w:val="0"/>
      <w:marTop w:val="0"/>
      <w:marBottom w:val="0"/>
      <w:divBdr>
        <w:top w:val="none" w:sz="0" w:space="0" w:color="auto"/>
        <w:left w:val="none" w:sz="0" w:space="0" w:color="auto"/>
        <w:bottom w:val="none" w:sz="0" w:space="0" w:color="auto"/>
        <w:right w:val="none" w:sz="0" w:space="0" w:color="auto"/>
      </w:divBdr>
    </w:div>
    <w:div w:id="1393390292">
      <w:bodyDiv w:val="1"/>
      <w:marLeft w:val="0"/>
      <w:marRight w:val="0"/>
      <w:marTop w:val="0"/>
      <w:marBottom w:val="0"/>
      <w:divBdr>
        <w:top w:val="none" w:sz="0" w:space="0" w:color="auto"/>
        <w:left w:val="none" w:sz="0" w:space="0" w:color="auto"/>
        <w:bottom w:val="none" w:sz="0" w:space="0" w:color="auto"/>
        <w:right w:val="none" w:sz="0" w:space="0" w:color="auto"/>
      </w:divBdr>
    </w:div>
    <w:div w:id="1426223315">
      <w:bodyDiv w:val="1"/>
      <w:marLeft w:val="0"/>
      <w:marRight w:val="0"/>
      <w:marTop w:val="0"/>
      <w:marBottom w:val="0"/>
      <w:divBdr>
        <w:top w:val="none" w:sz="0" w:space="0" w:color="auto"/>
        <w:left w:val="none" w:sz="0" w:space="0" w:color="auto"/>
        <w:bottom w:val="none" w:sz="0" w:space="0" w:color="auto"/>
        <w:right w:val="none" w:sz="0" w:space="0" w:color="auto"/>
      </w:divBdr>
    </w:div>
    <w:div w:id="1488328405">
      <w:bodyDiv w:val="1"/>
      <w:marLeft w:val="0"/>
      <w:marRight w:val="0"/>
      <w:marTop w:val="0"/>
      <w:marBottom w:val="0"/>
      <w:divBdr>
        <w:top w:val="none" w:sz="0" w:space="0" w:color="auto"/>
        <w:left w:val="none" w:sz="0" w:space="0" w:color="auto"/>
        <w:bottom w:val="none" w:sz="0" w:space="0" w:color="auto"/>
        <w:right w:val="none" w:sz="0" w:space="0" w:color="auto"/>
      </w:divBdr>
    </w:div>
    <w:div w:id="1491562989">
      <w:bodyDiv w:val="1"/>
      <w:marLeft w:val="0"/>
      <w:marRight w:val="0"/>
      <w:marTop w:val="0"/>
      <w:marBottom w:val="0"/>
      <w:divBdr>
        <w:top w:val="none" w:sz="0" w:space="0" w:color="auto"/>
        <w:left w:val="none" w:sz="0" w:space="0" w:color="auto"/>
        <w:bottom w:val="none" w:sz="0" w:space="0" w:color="auto"/>
        <w:right w:val="none" w:sz="0" w:space="0" w:color="auto"/>
      </w:divBdr>
      <w:divsChild>
        <w:div w:id="758141461">
          <w:marLeft w:val="0"/>
          <w:marRight w:val="0"/>
          <w:marTop w:val="100"/>
          <w:marBottom w:val="100"/>
          <w:divBdr>
            <w:top w:val="none" w:sz="0" w:space="0" w:color="auto"/>
            <w:left w:val="none" w:sz="0" w:space="0" w:color="auto"/>
            <w:bottom w:val="none" w:sz="0" w:space="0" w:color="auto"/>
            <w:right w:val="none" w:sz="0" w:space="0" w:color="auto"/>
          </w:divBdr>
          <w:divsChild>
            <w:div w:id="810900224">
              <w:marLeft w:val="0"/>
              <w:marRight w:val="0"/>
              <w:marTop w:val="750"/>
              <w:marBottom w:val="750"/>
              <w:divBdr>
                <w:top w:val="none" w:sz="0" w:space="0" w:color="auto"/>
                <w:left w:val="none" w:sz="0" w:space="0" w:color="auto"/>
                <w:bottom w:val="none" w:sz="0" w:space="0" w:color="auto"/>
                <w:right w:val="none" w:sz="0" w:space="0" w:color="auto"/>
              </w:divBdr>
              <w:divsChild>
                <w:div w:id="1417704941">
                  <w:marLeft w:val="0"/>
                  <w:marRight w:val="0"/>
                  <w:marTop w:val="0"/>
                  <w:marBottom w:val="0"/>
                  <w:divBdr>
                    <w:top w:val="none" w:sz="0" w:space="0" w:color="auto"/>
                    <w:left w:val="none" w:sz="0" w:space="0" w:color="auto"/>
                    <w:bottom w:val="none" w:sz="0" w:space="0" w:color="auto"/>
                    <w:right w:val="none" w:sz="0" w:space="0" w:color="auto"/>
                  </w:divBdr>
                  <w:divsChild>
                    <w:div w:id="511799840">
                      <w:marLeft w:val="0"/>
                      <w:marRight w:val="0"/>
                      <w:marTop w:val="0"/>
                      <w:marBottom w:val="0"/>
                      <w:divBdr>
                        <w:top w:val="none" w:sz="0" w:space="0" w:color="auto"/>
                        <w:left w:val="none" w:sz="0" w:space="0" w:color="auto"/>
                        <w:bottom w:val="none" w:sz="0" w:space="0" w:color="auto"/>
                        <w:right w:val="none" w:sz="0" w:space="0" w:color="auto"/>
                      </w:divBdr>
                      <w:divsChild>
                        <w:div w:id="193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6180">
          <w:marLeft w:val="0"/>
          <w:marRight w:val="0"/>
          <w:marTop w:val="100"/>
          <w:marBottom w:val="100"/>
          <w:divBdr>
            <w:top w:val="dashed" w:sz="6" w:space="0" w:color="A8A8A8"/>
            <w:left w:val="none" w:sz="0" w:space="0" w:color="auto"/>
            <w:bottom w:val="none" w:sz="0" w:space="0" w:color="auto"/>
            <w:right w:val="none" w:sz="0" w:space="0" w:color="auto"/>
          </w:divBdr>
          <w:divsChild>
            <w:div w:id="1568109181">
              <w:marLeft w:val="0"/>
              <w:marRight w:val="0"/>
              <w:marTop w:val="750"/>
              <w:marBottom w:val="750"/>
              <w:divBdr>
                <w:top w:val="none" w:sz="0" w:space="0" w:color="auto"/>
                <w:left w:val="none" w:sz="0" w:space="0" w:color="auto"/>
                <w:bottom w:val="none" w:sz="0" w:space="0" w:color="auto"/>
                <w:right w:val="none" w:sz="0" w:space="0" w:color="auto"/>
              </w:divBdr>
              <w:divsChild>
                <w:div w:id="997269358">
                  <w:marLeft w:val="0"/>
                  <w:marRight w:val="0"/>
                  <w:marTop w:val="0"/>
                  <w:marBottom w:val="0"/>
                  <w:divBdr>
                    <w:top w:val="none" w:sz="0" w:space="0" w:color="auto"/>
                    <w:left w:val="none" w:sz="0" w:space="0" w:color="auto"/>
                    <w:bottom w:val="none" w:sz="0" w:space="0" w:color="auto"/>
                    <w:right w:val="none" w:sz="0" w:space="0" w:color="auto"/>
                  </w:divBdr>
                  <w:divsChild>
                    <w:div w:id="980184697">
                      <w:marLeft w:val="0"/>
                      <w:marRight w:val="0"/>
                      <w:marTop w:val="0"/>
                      <w:marBottom w:val="0"/>
                      <w:divBdr>
                        <w:top w:val="none" w:sz="0" w:space="0" w:color="auto"/>
                        <w:left w:val="none" w:sz="0" w:space="0" w:color="auto"/>
                        <w:bottom w:val="none" w:sz="0" w:space="0" w:color="auto"/>
                        <w:right w:val="none" w:sz="0" w:space="0" w:color="auto"/>
                      </w:divBdr>
                      <w:divsChild>
                        <w:div w:id="3447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257616">
      <w:bodyDiv w:val="1"/>
      <w:marLeft w:val="0"/>
      <w:marRight w:val="0"/>
      <w:marTop w:val="0"/>
      <w:marBottom w:val="0"/>
      <w:divBdr>
        <w:top w:val="none" w:sz="0" w:space="0" w:color="auto"/>
        <w:left w:val="none" w:sz="0" w:space="0" w:color="auto"/>
        <w:bottom w:val="none" w:sz="0" w:space="0" w:color="auto"/>
        <w:right w:val="none" w:sz="0" w:space="0" w:color="auto"/>
      </w:divBdr>
    </w:div>
    <w:div w:id="1601915072">
      <w:bodyDiv w:val="1"/>
      <w:marLeft w:val="0"/>
      <w:marRight w:val="0"/>
      <w:marTop w:val="0"/>
      <w:marBottom w:val="0"/>
      <w:divBdr>
        <w:top w:val="none" w:sz="0" w:space="0" w:color="auto"/>
        <w:left w:val="none" w:sz="0" w:space="0" w:color="auto"/>
        <w:bottom w:val="none" w:sz="0" w:space="0" w:color="auto"/>
        <w:right w:val="none" w:sz="0" w:space="0" w:color="auto"/>
      </w:divBdr>
    </w:div>
    <w:div w:id="184019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Kaufman</dc:creator>
  <cp:keywords/>
  <dc:description/>
  <cp:lastModifiedBy>Microsoft Office User</cp:lastModifiedBy>
  <cp:revision>3</cp:revision>
  <dcterms:created xsi:type="dcterms:W3CDTF">2023-06-11T23:39:00Z</dcterms:created>
  <dcterms:modified xsi:type="dcterms:W3CDTF">2023-06-12T05:57:00Z</dcterms:modified>
</cp:coreProperties>
</file>