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b3a441eb22c4d89" /><Relationship Type="http://schemas.openxmlformats.org/package/2006/relationships/metadata/core-properties" Target="/docProps/core.xml" Id="R41f9ec9ecefa4019" /><Relationship Type="http://schemas.openxmlformats.org/officeDocument/2006/relationships/extended-properties" Target="/docProps/app.xml" Id="R6b766cebae9744b0" /><Relationship Type="http://schemas.openxmlformats.org/officeDocument/2006/relationships/custom-properties" Target="/docProps/custom.xml" Id="R9616545185984ac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sz w:val="56"/>
        </w:rPr>
        <w:t xml:space="preserve">Financial Default Risk Analytics</w:t>
      </w:r>
    </w:p>
    <w:p w14:paraId="00100002" w14:textId="00100003">
      <w:pPr>
        <w:pStyle w:val="Subtitle"/>
        <w:spacing w:after="120"/>
        <w:jc w:val="center"/>
      </w:pPr>
      <w:r>
        <w:rPr>
          <w:color w:val="57606A"/>
          <w:sz w:val="32"/>
        </w:rPr>
        <w:t xml:space="preserve">Project Report</w:t>
      </w:r>
    </w:p>
    <w:p w14:paraId="00100004" w14:textId="00100005">
      <w:pPr>
        <w:spacing w:after="480"/>
        <w:jc w:val="center"/>
      </w:pPr>
      <w:r>
        <w:rPr>
          <w:color w:val="57606A"/>
          <w:sz w:val="22"/>
        </w:rPr>
        <w:t xml:space="preserve">Dataset: clean_final_data.csv  ·  Technology: Python, Pandas, Plotly, Streamlit</w:t>
      </w:r>
    </w:p>
    <w:p w14:paraId="00100006" w14:textId="00100007">
      <w:pPr>
        <w:pStyle w:val="Heading1"/>
        <w:spacing w:before="240" w:after="120"/>
      </w:pPr>
      <w:r>
        <w:rPr>
          <w:b/>
          <w:sz w:val="36"/>
        </w:rPr>
        <w:t xml:space="preserve">Table of Contents</w:t>
      </w:r>
    </w:p>
    <w:p w14:paraId="00100008" w14:textId="00100009">
      <w:pPr>
        <w:spacing w:after="80"/>
      </w:pPr>
      <w:r>
        <w:rPr>
          <w:sz w:val="22"/>
        </w:rPr>
        <w:t xml:space="preserve">1. Project Overview</w:t>
      </w:r>
    </w:p>
    <w:p w14:paraId="0010000A" w14:textId="0010000B">
      <w:pPr>
        <w:spacing w:after="80"/>
      </w:pPr>
      <w:r>
        <w:rPr>
          <w:sz w:val="22"/>
        </w:rPr>
        <w:t xml:space="preserve">2. Dataset Description</w:t>
      </w:r>
    </w:p>
    <w:p w14:paraId="0010000C" w14:textId="0010000D">
      <w:pPr>
        <w:spacing w:after="80"/>
      </w:pPr>
      <w:r>
        <w:rPr>
          <w:sz w:val="22"/>
        </w:rPr>
        <w:t xml:space="preserve">3. Data Loading and Validation</w:t>
      </w:r>
    </w:p>
    <w:p w14:paraId="0010000E" w14:textId="0010000F">
      <w:pPr>
        <w:spacing w:after="80"/>
      </w:pPr>
      <w:r>
        <w:rPr>
          <w:sz w:val="22"/>
        </w:rPr>
        <w:t xml:space="preserve">4. Data Cleaning</w:t>
      </w:r>
    </w:p>
    <w:p w14:paraId="00100010" w14:textId="00100011">
      <w:pPr>
        <w:spacing w:after="80"/>
      </w:pPr>
      <w:r>
        <w:rPr>
          <w:sz w:val="22"/>
        </w:rPr>
        <w:t xml:space="preserve">5. Exploratory Data Analysis &amp; Grouping</w:t>
      </w:r>
    </w:p>
    <w:p w14:paraId="00100012" w14:textId="00100013">
      <w:pPr>
        <w:spacing w:after="80"/>
      </w:pPr>
      <w:r>
        <w:rPr>
          <w:sz w:val="22"/>
        </w:rPr>
        <w:t xml:space="preserve">6. Analytics Results &amp; Business Decisions</w:t>
      </w:r>
    </w:p>
    <w:p w14:paraId="00100014" w14:textId="00100015">
      <w:pPr>
        <w:spacing w:after="80"/>
      </w:pPr>
      <w:r>
        <w:rPr>
          <w:sz w:val="22"/>
        </w:rPr>
        <w:t xml:space="preserve">7. Dashboard UI Overview</w:t>
      </w:r>
    </w:p>
    <w:p w14:paraId="00100016" w14:textId="00100017">
      <w:pPr>
        <w:spacing w:after="80"/>
      </w:pPr>
      <w:r>
        <w:rPr>
          <w:sz w:val="22"/>
        </w:rPr>
        <w:t xml:space="preserve">8. Project Architecture</w:t>
      </w:r>
    </w:p>
    <w:p w14:paraId="00100018" w14:textId="00100019">
      <w:pPr>
        <w:spacing w:after="80"/>
      </w:pPr>
      <w:r>
        <w:rPr>
          <w:sz w:val="22"/>
        </w:rPr>
        <w:t xml:space="preserve">9. Conclusions and Recommendations</w:t>
      </w:r>
    </w:p>
    <w:p w14:paraId="0010001A" w14:textId="0010001B">
      <w:pPr>
        <w:spacing w:after="480"/>
      </w:pPr>
      <w:r>
        <w:rPr>
          <w:sz w:val="22"/>
        </w:rPr>
        <w:t xml:space="preserve">10. How to Run</w:t>
      </w:r>
    </w:p>
    <w:p w14:paraId="0010001C" w14:textId="0010001D">
      <w:pPr>
        <w:pStyle w:val="Heading1"/>
        <w:spacing w:before="280" w:after="160"/>
      </w:pPr>
      <w:r>
        <w:rPr>
          <w:b/>
          <w:sz w:val="36"/>
        </w:rPr>
        <w:t xml:space="preserve">1. Project Overview</w:t>
      </w:r>
    </w:p>
    <w:p w14:paraId="0010001E" w14:textId="0010001F">
      <w:pPr>
        <w:spacing w:after="160"/>
      </w:pPr>
      <w:r>
        <w:rPr>
          <w:sz w:val="22"/>
        </w:rPr>
        <w:t xml:space="preserve">This project delivers a comprehensive Financial Default Risk Analytics system built in Python. Using a retail transactions dataset, it identifies patterns of financial risk — defined as Returned or Cancelled orders — across product categories, customer segments, payment methods, cities, age groups, and discount tiers.</w:t>
      </w:r>
    </w:p>
    <w:p w14:paraId="00100020" w14:textId="00100021">
      <w:pPr>
        <w:spacing w:after="160"/>
      </w:pPr>
      <w:r>
        <w:rPr>
          <w:sz w:val="22"/>
        </w:rPr>
        <w:t xml:space="preserve">The solution includes a fully automated data pipeline (loading, validation, cleaning), a reusable analytics module for grouped summaries and KPIs, and an interactive Streamlit web dashboard with Plotly charts. Auto-generated business insights and recommendations are derived directly from the data, enabling decision-makers to act on risk signals in real time.</w:t>
      </w:r>
    </w:p>
    <w:p w14:paraId="00100022" w14:textId="00100023">
      <w:pPr>
        <w:spacing w:after="80"/>
      </w:pPr>
      <w:r>
        <w:rPr>
          <w:b/>
          <w:sz w:val="22"/>
        </w:rPr>
        <w:t xml:space="preserve">Objectives:</w:t>
      </w:r>
    </w:p>
    <w:p w14:paraId="00100024" w14:textId="00100025">
      <w:pPr>
        <w:numPr>
          <w:ilvl w:val="0"/>
          <w:numId w:val="1"/>
        </w:numPr>
        <w:spacing w:after="60"/>
      </w:pPr>
      <w:r>
        <w:rPr>
          <w:sz w:val="22"/>
        </w:rPr>
        <w:t xml:space="preserve">• Load and validate the CSV dataset automatically on startup</w:t>
      </w:r>
    </w:p>
    <w:p w14:paraId="00100026" w14:textId="00100027">
      <w:pPr>
        <w:numPr>
          <w:ilvl w:val="0"/>
          <w:numId w:val="1"/>
        </w:numPr>
        <w:spacing w:after="60"/>
      </w:pPr>
      <w:r>
        <w:rPr>
          <w:sz w:val="22"/>
        </w:rPr>
        <w:t xml:space="preserve">• Detect and clean missing values, duplicates, and invalid records</w:t>
      </w:r>
    </w:p>
    <w:p w14:paraId="00100028" w14:textId="00100029">
      <w:pPr>
        <w:numPr>
          <w:ilvl w:val="0"/>
          <w:numId w:val="1"/>
        </w:numPr>
        <w:spacing w:after="60"/>
      </w:pPr>
      <w:r>
        <w:rPr>
          <w:sz w:val="22"/>
        </w:rPr>
        <w:t xml:space="preserve">• Compute totals, counts, averages, and default rates across multiple dimensions</w:t>
      </w:r>
    </w:p>
    <w:p w14:paraId="0010002A" w14:textId="0010002B">
      <w:pPr>
        <w:numPr>
          <w:ilvl w:val="0"/>
          <w:numId w:val="1"/>
        </w:numPr>
        <w:spacing w:after="60"/>
      </w:pPr>
      <w:r>
        <w:rPr>
          <w:sz w:val="22"/>
        </w:rPr>
        <w:t xml:space="preserve">• Visualise results with interactive charts for business decision-making</w:t>
      </w:r>
    </w:p>
    <w:p w14:paraId="0010002C" w14:textId="0010002D">
      <w:pPr>
        <w:numPr>
          <w:ilvl w:val="0"/>
          <w:numId w:val="1"/>
        </w:numPr>
        <w:spacing w:after="60"/>
      </w:pPr>
      <w:r>
        <w:rPr>
          <w:sz w:val="22"/>
        </w:rPr>
        <w:t xml:space="preserve">• Surface automated business insights and strategic recommendations</w:t>
      </w:r>
    </w:p>
    <w:p w14:paraId="0010002E" w14:textId="0010002F">
      <w:pPr>
        <w:numPr>
          <w:ilvl w:val="0"/>
          <w:numId w:val="1"/>
        </w:numPr>
        <w:spacing w:after="240"/>
      </w:pPr>
      <w:r>
        <w:rPr>
          <w:sz w:val="22"/>
        </w:rPr>
        <w:t xml:space="preserve">• Present everything through a readable, filterable Streamlit frontend</w:t>
      </w:r>
    </w:p>
    <w:p w14:paraId="00100030" w14:textId="00100031">
      <w:pPr>
        <w:pStyle w:val="Heading1"/>
        <w:spacing w:before="280" w:after="160"/>
      </w:pPr>
      <w:r>
        <w:rPr>
          <w:b/>
          <w:sz w:val="36"/>
        </w:rPr>
        <w:t xml:space="preserve">2. Dataset Description</w:t>
      </w:r>
    </w:p>
    <w:p w14:paraId="00100032" w14:textId="00100033">
      <w:pPr>
        <w:spacing w:after="160"/>
      </w:pPr>
      <w:r>
        <w:rPr>
          <w:sz w:val="22"/>
        </w:rPr>
        <w:t xml:space="preserve">The dataset clean_final_data.csv is a retail transactions log containing order-level records across multiple product categories, cities, and customer segments. Each record represents a single order and its financial outcome.</w:t>
      </w:r>
    </w:p>
    <w:p w14:paraId="00100034" w14:textId="00100035">
      <w:pPr>
        <w:spacing w:after="120"/>
      </w:pPr>
      <w:r>
        <w:rPr>
          <w:b/>
          <w:sz w:val="22"/>
        </w:rPr>
        <w:t xml:space="preserve">Dataset columns and their descriptions: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6" w14:textId="00100037">
            <w:r>
              <w:t xml:space="preserve">Column</w:t>
            </w:r>
          </w:p>
        </w:tc>
        <w:tc>
          <w:p w14:paraId="00100038" w14:textId="00100039">
            <w:r>
              <w:t xml:space="preserve">Type</w:t>
            </w:r>
          </w:p>
        </w:tc>
        <w:tc>
          <w:p w14:paraId="0010003A" w14:textId="0010003B">
            <w:r>
              <w:t xml:space="preserve">Description</w:t>
            </w:r>
          </w:p>
        </w:tc>
      </w:tr>
      <w:tr>
        <w:trPr/>
        <w:tc>
          <w:p w14:paraId="0010003C" w14:textId="0010003D">
            <w:r>
              <w:t xml:space="preserve">OrderID</w:t>
            </w:r>
          </w:p>
        </w:tc>
        <w:tc>
          <w:p w14:paraId="0010003E" w14:textId="0010003F">
            <w:r>
              <w:t xml:space="preserve">Integer</w:t>
            </w:r>
          </w:p>
        </w:tc>
        <w:tc>
          <w:p w14:paraId="00100040" w14:textId="00100041">
            <w:r>
              <w:t xml:space="preserve">Unique order identifier</w:t>
            </w:r>
          </w:p>
        </w:tc>
      </w:tr>
      <w:tr>
        <w:trPr/>
        <w:tc>
          <w:p w14:paraId="00100042" w14:textId="00100043">
            <w:r>
              <w:t xml:space="preserve">CustomerID</w:t>
            </w:r>
          </w:p>
        </w:tc>
        <w:tc>
          <w:p w14:paraId="00100044" w14:textId="00100045">
            <w:r>
              <w:t xml:space="preserve">Integer</w:t>
            </w:r>
          </w:p>
        </w:tc>
        <w:tc>
          <w:p w14:paraId="00100046" w14:textId="00100047">
            <w:r>
              <w:t xml:space="preserve">Customer identifier</w:t>
            </w:r>
          </w:p>
        </w:tc>
      </w:tr>
      <w:tr>
        <w:trPr/>
        <w:tc>
          <w:p w14:paraId="00100048" w14:textId="00100049">
            <w:r>
              <w:t xml:space="preserve">OrderDate</w:t>
            </w:r>
          </w:p>
        </w:tc>
        <w:tc>
          <w:p w14:paraId="0010004A" w14:textId="0010004B">
            <w:r>
              <w:t xml:space="preserve">Date</w:t>
            </w:r>
          </w:p>
        </w:tc>
        <w:tc>
          <w:p w14:paraId="0010004C" w14:textId="0010004D">
            <w:r>
              <w:t xml:space="preserve">Date the order was placed</w:t>
            </w:r>
          </w:p>
        </w:tc>
      </w:tr>
      <w:tr>
        <w:trPr/>
        <w:tc>
          <w:p w14:paraId="0010004E" w14:textId="0010004F">
            <w:r>
              <w:t xml:space="preserve">ProductID</w:t>
            </w:r>
          </w:p>
        </w:tc>
        <w:tc>
          <w:p w14:paraId="00100050" w14:textId="00100051">
            <w:r>
              <w:t xml:space="preserve">Integer</w:t>
            </w:r>
          </w:p>
        </w:tc>
        <w:tc>
          <w:p w14:paraId="00100052" w14:textId="00100053">
            <w:r>
              <w:t xml:space="preserve">Product identifier</w:t>
            </w:r>
          </w:p>
        </w:tc>
      </w:tr>
      <w:tr>
        <w:trPr/>
        <w:tc>
          <w:p w14:paraId="00100054" w14:textId="00100055">
            <w:r>
              <w:t xml:space="preserve">Quantity</w:t>
            </w:r>
          </w:p>
        </w:tc>
        <w:tc>
          <w:p w14:paraId="00100056" w14:textId="00100057">
            <w:r>
              <w:t xml:space="preserve">Float</w:t>
            </w:r>
          </w:p>
        </w:tc>
        <w:tc>
          <w:p w14:paraId="00100058" w14:textId="00100059">
            <w:r>
              <w:t xml:space="preserve">Number of units ordered</w:t>
            </w:r>
          </w:p>
        </w:tc>
      </w:tr>
      <w:tr>
        <w:trPr/>
        <w:tc>
          <w:p w14:paraId="0010005A" w14:textId="0010005B">
            <w:r>
              <w:t xml:space="preserve">Discount</w:t>
            </w:r>
          </w:p>
        </w:tc>
        <w:tc>
          <w:p w14:paraId="0010005C" w14:textId="0010005D">
            <w:r>
              <w:t xml:space="preserve">Float</w:t>
            </w:r>
          </w:p>
        </w:tc>
        <w:tc>
          <w:p w14:paraId="0010005E" w14:textId="0010005F">
            <w:r>
              <w:t xml:space="preserve">Discount percentage applied to the order</w:t>
            </w:r>
          </w:p>
        </w:tc>
      </w:tr>
      <w:tr>
        <w:trPr/>
        <w:tc>
          <w:p w14:paraId="00100060" w14:textId="00100061">
            <w:r>
              <w:t xml:space="preserve">PaymentMethod</w:t>
            </w:r>
          </w:p>
        </w:tc>
        <w:tc>
          <w:p w14:paraId="00100062" w14:textId="00100063">
            <w:r>
              <w:t xml:space="preserve">String</w:t>
            </w:r>
          </w:p>
        </w:tc>
        <w:tc>
          <w:p w14:paraId="00100064" w14:textId="00100065">
            <w:r>
              <w:t xml:space="preserve">Payment channel: Gateway, Wallet, Cash, CardToCard</w:t>
            </w:r>
          </w:p>
        </w:tc>
      </w:tr>
      <w:tr>
        <w:trPr/>
        <w:tc>
          <w:p w14:paraId="00100066" w14:textId="00100067">
            <w:r>
              <w:t xml:space="preserve">Status</w:t>
            </w:r>
          </w:p>
        </w:tc>
        <w:tc>
          <w:p w14:paraId="00100068" w14:textId="00100069">
            <w:r>
              <w:t xml:space="preserve">String</w:t>
            </w:r>
          </w:p>
        </w:tc>
        <w:tc>
          <w:p w14:paraId="0010006A" w14:textId="0010006B">
            <w:r>
              <w:t xml:space="preserve">Order outcome: Completed, Returned, Cancelled (target variable)</w:t>
            </w:r>
          </w:p>
        </w:tc>
      </w:tr>
      <w:tr>
        <w:trPr/>
        <w:tc>
          <w:p w14:paraId="0010006C" w14:textId="0010006D">
            <w:r>
              <w:t xml:space="preserve">Age</w:t>
            </w:r>
          </w:p>
        </w:tc>
        <w:tc>
          <w:p w14:paraId="0010006E" w14:textId="0010006F">
            <w:r>
              <w:t xml:space="preserve">Float</w:t>
            </w:r>
          </w:p>
        </w:tc>
        <w:tc>
          <w:p w14:paraId="00100070" w14:textId="00100071">
            <w:r>
              <w:t xml:space="preserve">Customer age in years</w:t>
            </w:r>
          </w:p>
        </w:tc>
      </w:tr>
      <w:tr>
        <w:trPr/>
        <w:tc>
          <w:p w14:paraId="00100072" w14:textId="00100073">
            <w:r>
              <w:t xml:space="preserve">City</w:t>
            </w:r>
          </w:p>
        </w:tc>
        <w:tc>
          <w:p w14:paraId="00100074" w14:textId="00100075">
            <w:r>
              <w:t xml:space="preserve">String</w:t>
            </w:r>
          </w:p>
        </w:tc>
        <w:tc>
          <w:p w14:paraId="00100076" w14:textId="00100077">
            <w:r>
              <w:t xml:space="preserve">Customer city</w:t>
            </w:r>
          </w:p>
        </w:tc>
      </w:tr>
      <w:tr>
        <w:trPr/>
        <w:tc>
          <w:p w14:paraId="00100078" w14:textId="00100079">
            <w:r>
              <w:t xml:space="preserve">SignupDate</w:t>
            </w:r>
          </w:p>
        </w:tc>
        <w:tc>
          <w:p w14:paraId="0010007A" w14:textId="0010007B">
            <w:r>
              <w:t xml:space="preserve">Date</w:t>
            </w:r>
          </w:p>
        </w:tc>
        <w:tc>
          <w:p w14:paraId="0010007C" w14:textId="0010007D">
            <w:r>
              <w:t xml:space="preserve">Customer account registration date</w:t>
            </w:r>
          </w:p>
        </w:tc>
      </w:tr>
      <w:tr>
        <w:trPr/>
        <w:tc>
          <w:p w14:paraId="0010007E" w14:textId="0010007F">
            <w:r>
              <w:t xml:space="preserve">CustomerSegment</w:t>
            </w:r>
          </w:p>
        </w:tc>
        <w:tc>
          <w:p w14:paraId="00100080" w14:textId="00100081">
            <w:r>
              <w:t xml:space="preserve">String</w:t>
            </w:r>
          </w:p>
        </w:tc>
        <w:tc>
          <w:p w14:paraId="00100082" w14:textId="00100083">
            <w:r>
              <w:t xml:space="preserve">Customer tier: New, Regular, VIP</w:t>
            </w:r>
          </w:p>
        </w:tc>
      </w:tr>
      <w:tr>
        <w:trPr/>
        <w:tc>
          <w:p w14:paraId="00100084" w14:textId="00100085">
            <w:r>
              <w:t xml:space="preserve">ProductName</w:t>
            </w:r>
          </w:p>
        </w:tc>
        <w:tc>
          <w:p w14:paraId="00100086" w14:textId="00100087">
            <w:r>
              <w:t xml:space="preserve">String</w:t>
            </w:r>
          </w:p>
        </w:tc>
        <w:tc>
          <w:p w14:paraId="00100088" w14:textId="00100089">
            <w:r>
              <w:t xml:space="preserve">Name of the product ordered</w:t>
            </w:r>
          </w:p>
        </w:tc>
      </w:tr>
      <w:tr>
        <w:trPr/>
        <w:tc>
          <w:p w14:paraId="0010008A" w14:textId="0010008B">
            <w:r>
              <w:t xml:space="preserve">Category</w:t>
            </w:r>
          </w:p>
        </w:tc>
        <w:tc>
          <w:p w14:paraId="0010008C" w14:textId="0010008D">
            <w:r>
              <w:t xml:space="preserve">String</w:t>
            </w:r>
          </w:p>
        </w:tc>
        <w:tc>
          <w:p w14:paraId="0010008E" w14:textId="0010008F">
            <w:r>
              <w:t xml:space="preserve">Product category (Electronics, Accessories, etc.)</w:t>
            </w:r>
          </w:p>
        </w:tc>
      </w:tr>
      <w:tr>
        <w:trPr/>
        <w:tc>
          <w:p w14:paraId="00100090" w14:textId="00100091">
            <w:r>
              <w:t xml:space="preserve">UnitPrice</w:t>
            </w:r>
          </w:p>
        </w:tc>
        <w:tc>
          <w:p w14:paraId="00100092" w14:textId="00100093">
            <w:r>
              <w:t xml:space="preserve">Float</w:t>
            </w:r>
          </w:p>
        </w:tc>
        <w:tc>
          <w:p w14:paraId="00100094" w14:textId="00100095">
            <w:r>
              <w:t xml:space="preserve">Per-unit price of the product</w:t>
            </w:r>
          </w:p>
        </w:tc>
      </w:tr>
      <w:tr>
        <w:trPr/>
        <w:tc>
          <w:p w14:paraId="00100096" w14:textId="00100097">
            <w:r>
              <w:t xml:space="preserve">Sales</w:t>
            </w:r>
          </w:p>
        </w:tc>
        <w:tc>
          <w:p w14:paraId="00100098" w14:textId="00100099">
            <w:r>
              <w:t xml:space="preserve">Float</w:t>
            </w:r>
          </w:p>
        </w:tc>
        <w:tc>
          <w:p w14:paraId="0010009A" w14:textId="0010009B">
            <w:r>
              <w:t xml:space="preserve">Net sale value after discounts</w:t>
            </w:r>
          </w:p>
        </w:tc>
      </w:tr>
      <w:tr>
        <w:trPr/>
        <w:tc>
          <w:p w14:paraId="0010009C" w14:textId="0010009D">
            <w:r>
              <w:t xml:space="preserve">OrderValue</w:t>
            </w:r>
          </w:p>
        </w:tc>
        <w:tc>
          <w:p w14:paraId="0010009E" w14:textId="0010009F">
            <w:r>
              <w:t xml:space="preserve">Float</w:t>
            </w:r>
          </w:p>
        </w:tc>
        <w:tc>
          <w:p w14:paraId="001000A0" w14:textId="001000A1">
            <w:r>
              <w:t xml:space="preserve">Gross order value before discounts</w:t>
            </w:r>
          </w:p>
        </w:tc>
      </w:tr>
    </w:tbl>
    <w:p w14:paraId="001000A2" w14:textId="001000A3">
      <w:pPr>
        <w:spacing w:before="160" w:after="240"/>
      </w:pPr>
      <w:r>
        <w:rPr>
          <w:sz w:val="22"/>
        </w:rPr>
        <w:t xml:space="preserve">The target variable for default risk analysis is Status. Orders with Status = Returned or Cancelled are labelled as IsDefaultRisk = 1. Completed orders are IsDefaultRisk = 0.</w:t>
      </w:r>
    </w:p>
    <w:p w14:paraId="001000A4" w14:textId="001000A5">
      <w:pPr>
        <w:pStyle w:val="Heading1"/>
        <w:spacing w:before="280" w:after="160"/>
      </w:pPr>
      <w:r>
        <w:rPr>
          <w:b/>
          <w:sz w:val="36"/>
        </w:rPr>
        <w:t xml:space="preserve">3. Data Loading and Validation</w:t>
      </w:r>
    </w:p>
    <w:p w14:paraId="001000A6" w14:textId="001000A7">
      <w:pPr>
        <w:spacing w:after="160"/>
      </w:pPr>
      <w:r>
        <w:rPr>
          <w:sz w:val="22"/>
        </w:rPr>
        <w:t xml:space="preserve">The data_loader.py module handles all data ingestion and validation. On startup, the Streamlit application calls load_and_clean() which executes three sequential steps: raw CSV loading, validation, and cleaning.</w:t>
      </w:r>
    </w:p>
    <w:p w14:paraId="001000A8" w14:textId="001000A9">
      <w:pPr>
        <w:pStyle w:val="Heading2"/>
        <w:spacing w:before="200" w:after="120"/>
      </w:pPr>
      <w:r>
        <w:rPr>
          <w:b/>
          <w:sz w:val="28"/>
        </w:rPr>
        <w:t xml:space="preserve">3.1 Loading</w:t>
      </w:r>
    </w:p>
    <w:p w14:paraId="001000AA" w14:textId="001000AB">
      <w:pPr>
        <w:spacing w:after="160"/>
      </w:pPr>
      <w:r>
        <w:rPr>
          <w:sz w:val="22"/>
        </w:rPr>
        <w:t xml:space="preserve">The dataset is loaded using pandas.read_csv(). The path is resolved relative to the app.py file so the project runs correctly from any working directory.</w:t>
      </w:r>
    </w:p>
    <w:p w14:paraId="001000AC" w14:textId="001000AD">
      <w:pPr>
        <w:pStyle w:val="Heading2"/>
        <w:spacing w:before="200" w:after="120"/>
      </w:pPr>
      <w:r>
        <w:rPr>
          <w:b/>
          <w:sz w:val="28"/>
        </w:rPr>
        <w:t xml:space="preserve">3.2 Validation Checks</w:t>
      </w:r>
    </w:p>
    <w:p w14:paraId="001000AE" w14:textId="001000AF">
      <w:pPr>
        <w:spacing w:after="120"/>
      </w:pPr>
      <w:r>
        <w:rPr>
          <w:sz w:val="22"/>
        </w:rPr>
        <w:t xml:space="preserve">The validate() function runs the following checks and returns a structured report:</w:t>
      </w:r>
    </w:p>
    <w:p w14:paraId="001000B0" w14:textId="001000B1">
      <w:pPr>
        <w:numPr>
          <w:ilvl w:val="0"/>
          <w:numId w:val="2"/>
        </w:numPr>
        <w:spacing w:after="60"/>
      </w:pPr>
      <w:r>
        <w:rPr>
          <w:sz w:val="22"/>
        </w:rPr>
        <w:t xml:space="preserve">• Missing values — isnull().sum() across all columns</w:t>
      </w:r>
    </w:p>
    <w:p w14:paraId="001000B2" w14:textId="001000B3">
      <w:pPr>
        <w:numPr>
          <w:ilvl w:val="0"/>
          <w:numId w:val="2"/>
        </w:numPr>
        <w:spacing w:after="60"/>
      </w:pPr>
      <w:r>
        <w:rPr>
          <w:sz w:val="22"/>
        </w:rPr>
        <w:t xml:space="preserve">• Duplicate rows — DataFrame.duplicated().sum()</w:t>
      </w:r>
    </w:p>
    <w:p w14:paraId="001000B4" w14:textId="001000B5">
      <w:pPr>
        <w:numPr>
          <w:ilvl w:val="0"/>
          <w:numId w:val="2"/>
        </w:numPr>
        <w:spacing w:after="60"/>
      </w:pPr>
      <w:r>
        <w:rPr>
          <w:sz w:val="22"/>
        </w:rPr>
        <w:t xml:space="preserve">• Invalid Status values — rows not in {Completed, Returned, Cancelled}</w:t>
      </w:r>
    </w:p>
    <w:p w14:paraId="001000B6" w14:textId="001000B7">
      <w:pPr>
        <w:numPr>
          <w:ilvl w:val="0"/>
          <w:numId w:val="2"/>
        </w:numPr>
        <w:spacing w:after="60"/>
      </w:pPr>
      <w:r>
        <w:rPr>
          <w:sz w:val="22"/>
        </w:rPr>
        <w:t xml:space="preserve">• Negative numeric values — checked for Quantity, Discount, Age, UnitPrice, Sales, OrderValue</w:t>
      </w:r>
    </w:p>
    <w:p w14:paraId="001000B8" w14:textId="001000B9">
      <w:pPr>
        <w:numPr>
          <w:ilvl w:val="0"/>
          <w:numId w:val="2"/>
        </w:numPr>
        <w:spacing w:after="60"/>
      </w:pPr>
      <w:r>
        <w:rPr>
          <w:sz w:val="22"/>
        </w:rPr>
        <w:t xml:space="preserve">• Date parse errors — pd.to_datetime(errors='coerce') on OrderDate and SignupDate</w:t>
      </w:r>
    </w:p>
    <w:p w14:paraId="001000BA" w14:textId="001000BB">
      <w:pPr>
        <w:numPr>
          <w:ilvl w:val="0"/>
          <w:numId w:val="2"/>
        </w:numPr>
        <w:spacing w:after="160"/>
      </w:pPr>
      <w:r>
        <w:rPr>
          <w:sz w:val="22"/>
        </w:rPr>
        <w:t xml:space="preserve">• Age out of range — values outside 0–120 flagged</w:t>
      </w:r>
    </w:p>
    <w:p w14:paraId="001000BC" w14:textId="001000BD">
      <w:pPr>
        <w:spacing w:after="240"/>
      </w:pPr>
      <w:r>
        <w:rPr>
          <w:sz w:val="22"/>
        </w:rPr>
        <w:t xml:space="preserve">All validation results are displayed in the Data Quality tab of the dashboard, giving analysts a clear view of any data integrity issues before reviewing analytics.</w:t>
      </w:r>
    </w:p>
    <w:p w14:paraId="001000BE" w14:textId="001000BF">
      <w:pPr>
        <w:pStyle w:val="Heading1"/>
        <w:spacing w:before="280" w:after="160"/>
      </w:pPr>
      <w:r>
        <w:rPr>
          <w:b/>
          <w:sz w:val="36"/>
        </w:rPr>
        <w:t xml:space="preserve">4. Data Cleaning</w:t>
      </w:r>
    </w:p>
    <w:p w14:paraId="001000C0" w14:textId="001000C1">
      <w:pPr>
        <w:spacing w:after="160"/>
      </w:pPr>
      <w:r>
        <w:rPr>
          <w:sz w:val="22"/>
        </w:rPr>
        <w:t xml:space="preserve">The clean() function in data_loader.py applies the following transformations to produce a reliable, analytics-ready dataset:</w:t>
      </w:r>
    </w:p>
    <w:p w14:paraId="001000C2" w14:textId="001000C3">
      <w:pPr>
        <w:numPr>
          <w:ilvl w:val="0"/>
          <w:numId w:val="3"/>
        </w:numPr>
        <w:spacing w:after="80"/>
      </w:pPr>
      <w:r>
        <w:rPr>
          <w:sz w:val="22"/>
        </w:rPr>
        <w:t xml:space="preserve">Step 1 — Remove Duplicates: DataFrame.drop_duplicates() removes exact duplicate rows and resets the index.</w:t>
      </w:r>
    </w:p>
    <w:p w14:paraId="001000C4" w14:textId="001000C5">
      <w:pPr>
        <w:numPr>
          <w:ilvl w:val="0"/>
          <w:numId w:val="3"/>
        </w:numPr>
        <w:spacing w:after="80"/>
      </w:pPr>
      <w:r>
        <w:rPr>
          <w:sz w:val="22"/>
        </w:rPr>
        <w:t xml:space="preserve">Step 2 — Parse Dates: pd.to_datetime(errors='coerce') converts OrderDate and SignupDate strings to proper datetime objects. Unparseable values become NaT.</w:t>
      </w:r>
    </w:p>
    <w:p w14:paraId="001000C6" w14:textId="001000C7">
      <w:pPr>
        <w:numPr>
          <w:ilvl w:val="0"/>
          <w:numId w:val="3"/>
        </w:numPr>
        <w:spacing w:after="80"/>
      </w:pPr>
      <w:r>
        <w:rPr>
          <w:sz w:val="22"/>
        </w:rPr>
        <w:t xml:space="preserve">Step 3 — Coerce Numerics: pd.to_numeric(errors='coerce') forces numeric columns. NaN values are filled with the column median to preserve statistical balance.</w:t>
      </w:r>
    </w:p>
    <w:p w14:paraId="001000C8" w14:textId="001000C9">
      <w:pPr>
        <w:numPr>
          <w:ilvl w:val="0"/>
          <w:numId w:val="3"/>
        </w:numPr>
        <w:spacing w:after="80"/>
      </w:pPr>
      <w:r>
        <w:rPr>
          <w:sz w:val="22"/>
        </w:rPr>
        <w:t xml:space="preserve">Step 4 — Fill Categoricals: Missing categorical fields (PaymentMethod, City, CustomerSegment, etc.) are filled with the column mode value or 'Unknown'.</w:t>
      </w:r>
    </w:p>
    <w:p w14:paraId="001000CA" w14:textId="001000CB">
      <w:pPr>
        <w:numPr>
          <w:ilvl w:val="0"/>
          <w:numId w:val="3"/>
        </w:numPr>
        <w:spacing w:after="80"/>
      </w:pPr>
      <w:r>
        <w:rPr>
          <w:sz w:val="22"/>
        </w:rPr>
        <w:t xml:space="preserve">Step 5 — Filter Invalid Status: Rows with a Status not in {Completed, Returned, Cancelled} are dropped.</w:t>
      </w:r>
    </w:p>
    <w:p w14:paraId="001000CC" w14:textId="001000CD">
      <w:pPr>
        <w:numPr>
          <w:ilvl w:val="0"/>
          <w:numId w:val="3"/>
        </w:numPr>
        <w:spacing w:after="80"/>
      </w:pPr>
      <w:r>
        <w:rPr>
          <w:sz w:val="22"/>
        </w:rPr>
        <w:t xml:space="preserve">Step 6 — Derived Columns: New analytical columns are added:</w:t>
      </w:r>
    </w:p>
    <w:p w14:paraId="001000CE" w14:textId="001000CF">
      <w:pPr>
        <w:spacing w:after="60"/>
      </w:pPr>
      <w:r>
        <w:rPr>
          <w:sz w:val="22"/>
        </w:rPr>
        <w:t xml:space="preserve">   IsDefaultRisk (0/1) — 1 if Status is Returned or Cancelled, otherwise 0</w:t>
      </w:r>
    </w:p>
    <w:p w14:paraId="001000D0" w14:textId="001000D1">
      <w:pPr>
        <w:spacing w:after="60"/>
      </w:pPr>
      <w:r>
        <w:rPr>
          <w:sz w:val="22"/>
        </w:rPr>
        <w:t xml:space="preserve">   OrderYear, OrderMonth, OrderMonthName, OrderYearMonth — time decomposition for trend analysis</w:t>
      </w:r>
    </w:p>
    <w:p w14:paraId="001000D2" w14:textId="001000D3">
      <w:pPr>
        <w:spacing w:after="240"/>
      </w:pPr>
      <w:r>
        <w:rPr>
          <w:sz w:val="22"/>
        </w:rPr>
        <w:t xml:space="preserve">   AgeBucket — Age grouped into five bands: 18-25, 26-35, 36-45, 46-55, 55+</w:t>
      </w:r>
    </w:p>
    <w:p w14:paraId="001000D4" w14:textId="001000D5">
      <w:pPr>
        <w:pStyle w:val="Heading1"/>
        <w:spacing w:before="280" w:after="160"/>
      </w:pPr>
      <w:r>
        <w:rPr>
          <w:b/>
          <w:sz w:val="36"/>
        </w:rPr>
        <w:t xml:space="preserve">5. Exploratory Data Analysis &amp; Grouping</w:t>
      </w:r>
    </w:p>
    <w:p w14:paraId="001000D6" w14:textId="001000D7">
      <w:pPr>
        <w:spacing w:after="160"/>
      </w:pPr>
      <w:r>
        <w:rPr>
          <w:sz w:val="22"/>
        </w:rPr>
        <w:t xml:space="preserve">The analytics.py module provides 11 analytical functions that compute grouped summaries, KPIs, and risk metrics. All functions accept the cleaned DataFrame and return a new DataFrame or dictionary ready for visualisation.</w:t>
      </w:r>
    </w:p>
    <w:p w14:paraId="001000D8" w14:textId="001000D9">
      <w:pPr>
        <w:pStyle w:val="Heading2"/>
        <w:spacing w:before="200" w:after="120"/>
      </w:pPr>
      <w:r>
        <w:rPr>
          <w:b/>
          <w:sz w:val="28"/>
        </w:rPr>
        <w:t xml:space="preserve">5.1 Key Performance Indicators (kpis)</w:t>
      </w:r>
    </w:p>
    <w:p w14:paraId="001000DA" w14:textId="001000DB">
      <w:pPr>
        <w:spacing w:after="160"/>
      </w:pPr>
      <w:r>
        <w:rPr>
          <w:sz w:val="22"/>
        </w:rPr>
        <w:t xml:space="preserve">Computes top-level dashboard metrics: Total Orders, Unique Customers, Total Revenue, Average Order Value, Default Orders, Default Rate (%), Average Discount (%), and Average Customer Age.</w:t>
      </w:r>
    </w:p>
    <w:p w14:paraId="001000DC" w14:textId="001000DD">
      <w:pPr>
        <w:pStyle w:val="Heading2"/>
        <w:spacing w:before="200" w:after="120"/>
      </w:pPr>
      <w:r>
        <w:rPr>
          <w:b/>
          <w:sz w:val="28"/>
        </w:rPr>
        <w:t xml:space="preserve">5.2 Status Distribution (status_distribution)</w:t>
      </w:r>
    </w:p>
    <w:p w14:paraId="001000DE" w14:textId="001000DF">
      <w:pPr>
        <w:spacing w:after="160"/>
      </w:pPr>
      <w:r>
        <w:rPr>
          <w:sz w:val="22"/>
        </w:rPr>
        <w:t xml:space="preserve">Groups orders by Status and computes Count, Total Sales, and Percentage share for each outcome (Completed, Returned, Cancelled).</w:t>
      </w:r>
    </w:p>
    <w:p w14:paraId="001000E0" w14:textId="001000E1">
      <w:pPr>
        <w:pStyle w:val="Heading2"/>
        <w:spacing w:before="200" w:after="120"/>
      </w:pPr>
      <w:r>
        <w:rPr>
          <w:b/>
          <w:sz w:val="28"/>
        </w:rPr>
        <w:t xml:space="preserve">5.3 Risk by Category (risk_by_category)</w:t>
      </w:r>
    </w:p>
    <w:p w14:paraId="001000E2" w14:textId="001000E3">
      <w:pPr>
        <w:spacing w:after="160"/>
      </w:pPr>
      <w:r>
        <w:rPr>
          <w:sz w:val="22"/>
        </w:rPr>
        <w:t xml:space="preserve">Groups by product Category. For each category: Total Orders, At-Risk Orders, Total Sales, Average Discount, Average Order Value, and Default Rate (%). Sorted by default rate descending.</w:t>
      </w:r>
    </w:p>
    <w:p w14:paraId="001000E4" w14:textId="001000E5">
      <w:pPr>
        <w:pStyle w:val="Heading2"/>
        <w:spacing w:before="200" w:after="120"/>
      </w:pPr>
      <w:r>
        <w:rPr>
          <w:b/>
          <w:sz w:val="28"/>
        </w:rPr>
        <w:t xml:space="preserve">5.4 Risk by Payment Method (risk_by_payment)</w:t>
      </w:r>
    </w:p>
    <w:p w14:paraId="001000E6" w14:textId="001000E7">
      <w:pPr>
        <w:spacing w:after="160"/>
      </w:pPr>
      <w:r>
        <w:rPr>
          <w:sz w:val="22"/>
        </w:rPr>
        <w:t xml:space="preserve">Identical structure to category risk but grouped by PaymentMethod. Identifies which payment channels carry the highest financial risk.</w:t>
      </w:r>
    </w:p>
    <w:p w14:paraId="001000E8" w14:textId="001000E9">
      <w:pPr>
        <w:pStyle w:val="Heading2"/>
        <w:spacing w:before="200" w:after="120"/>
      </w:pPr>
      <w:r>
        <w:rPr>
          <w:b/>
          <w:sz w:val="28"/>
        </w:rPr>
        <w:t xml:space="preserve">5.5 Risk by Customer Segment (risk_by_segment)</w:t>
      </w:r>
    </w:p>
    <w:p w14:paraId="001000EA" w14:textId="001000EB">
      <w:pPr>
        <w:spacing w:after="160"/>
      </w:pPr>
      <w:r>
        <w:rPr>
          <w:sz w:val="22"/>
        </w:rPr>
        <w:t xml:space="preserve">Grouped by CustomerSegment (New, Regular, VIP). Shows which segments generate the most financial risk relative to their order volume.</w:t>
      </w:r>
    </w:p>
    <w:p w14:paraId="001000EC" w14:textId="001000ED">
      <w:pPr>
        <w:pStyle w:val="Heading2"/>
        <w:spacing w:before="200" w:after="120"/>
      </w:pPr>
      <w:r>
        <w:rPr>
          <w:b/>
          <w:sz w:val="28"/>
        </w:rPr>
        <w:t xml:space="preserve">5.6 Monthly Trend (monthly_trend)</w:t>
      </w:r>
    </w:p>
    <w:p w14:paraId="001000EE" w14:textId="001000EF">
      <w:pPr>
        <w:spacing w:after="160"/>
      </w:pPr>
      <w:r>
        <w:rPr>
          <w:sz w:val="22"/>
        </w:rPr>
        <w:t xml:space="preserve">Aggregates by OrderYearMonth period. Returns Total Orders, At-Risk Orders, Total Revenue, and Default Rate for each month. Sorted chronologically for trend visualisation.</w:t>
      </w:r>
    </w:p>
    <w:p w14:paraId="001000F0" w14:textId="001000F1">
      <w:pPr>
        <w:pStyle w:val="Heading2"/>
        <w:spacing w:before="200" w:after="120"/>
      </w:pPr>
      <w:r>
        <w:rPr>
          <w:b/>
          <w:sz w:val="28"/>
        </w:rPr>
        <w:t xml:space="preserve">5.7 Risk by Age Group (risk_by_age)</w:t>
      </w:r>
    </w:p>
    <w:p w14:paraId="001000F2" w14:textId="001000F3">
      <w:pPr>
        <w:spacing w:after="160"/>
      </w:pPr>
      <w:r>
        <w:rPr>
          <w:sz w:val="22"/>
        </w:rPr>
        <w:t xml:space="preserve">Uses the derived AgeBucket column to group customers into five age bands. Reveals demographic risk patterns.</w:t>
      </w:r>
    </w:p>
    <w:p w14:paraId="001000F4" w14:textId="001000F5">
      <w:pPr>
        <w:pStyle w:val="Heading2"/>
        <w:spacing w:before="200" w:after="120"/>
      </w:pPr>
      <w:r>
        <w:rPr>
          <w:b/>
          <w:sz w:val="28"/>
        </w:rPr>
        <w:t xml:space="preserve">5.8 Discount vs Default Rate (discount_vs_default)</w:t>
      </w:r>
    </w:p>
    <w:p w14:paraId="001000F6" w14:textId="001000F7">
      <w:pPr>
        <w:spacing w:after="240"/>
      </w:pPr>
      <w:r>
        <w:rPr>
          <w:sz w:val="22"/>
        </w:rPr>
        <w:t xml:space="preserve">Bins the Discount column into seven bands (0%, 1-5%, 6-10%, 11-15%, 16-20%, 21-30%, &gt;30%) and calculates default rate per band to quantify how discount level correlates with financial risk.</w:t>
      </w:r>
    </w:p>
    <w:p w14:paraId="001000F8" w14:textId="001000F9">
      <w:pPr>
        <w:pStyle w:val="Heading1"/>
        <w:spacing w:before="280" w:after="160"/>
      </w:pPr>
      <w:r>
        <w:rPr>
          <w:b/>
          <w:sz w:val="36"/>
        </w:rPr>
        <w:t xml:space="preserve">6. Analytics Results &amp; Business Decisions</w:t>
      </w:r>
    </w:p>
    <w:p w14:paraId="001000FA" w14:textId="001000FB">
      <w:pPr>
        <w:spacing w:after="160"/>
      </w:pPr>
      <w:r>
        <w:rPr>
          <w:sz w:val="22"/>
        </w:rPr>
        <w:t xml:space="preserve">The following summarises the key findings derived from grouping and aggregating the dataset. All figures represent patterns observed across the entire dataset (unfiltered).</w:t>
      </w:r>
    </w:p>
    <w:p w14:paraId="001000FC" w14:textId="001000FD">
      <w:pPr>
        <w:pStyle w:val="Heading2"/>
        <w:spacing w:before="200" w:after="120"/>
      </w:pPr>
      <w:r>
        <w:rPr>
          <w:b/>
          <w:sz w:val="28"/>
        </w:rPr>
        <w:t xml:space="preserve">6.1 Default Rate Overview</w:t>
      </w:r>
    </w:p>
    <w:p w14:paraId="001000FE" w14:textId="001000FF">
      <w:pPr>
        <w:spacing w:after="160"/>
      </w:pPr>
      <w:r>
        <w:rPr>
          <w:sz w:val="22"/>
        </w:rPr>
        <w:t xml:space="preserve">The overall financial default risk rate is computed as the percentage of Returned and Cancelled orders against total orders. Orders marked Returned indicate product-quality or expectation mismatches. Orders marked Cancelled may reflect payment failures, buyer intent changes, or pricing dissatisfaction. Combined, they represent the total financial exposure of unfulfilled revenue.</w:t>
      </w:r>
    </w:p>
    <w:p w14:paraId="00100100" w14:textId="00100101">
      <w:pPr>
        <w:spacing w:after="160"/>
      </w:pPr>
      <w:r>
        <w:rPr>
          <w:b w:val="false"/>
          <w:sz w:val="22"/>
        </w:rPr>
        <w:t xml:space="preserve">Business Decision: A default rate above 20% in any dimension (category, city, payment method) triggers a review threshold. The dashboard highlights these automatically through the Risk Analysis tab colour scales.</w:t>
      </w:r>
    </w:p>
    <w:p w14:paraId="00100102" w14:textId="00100103">
      <w:pPr>
        <w:pStyle w:val="Heading2"/>
        <w:spacing w:before="200" w:after="120"/>
      </w:pPr>
      <w:r>
        <w:rPr>
          <w:b/>
          <w:sz w:val="28"/>
        </w:rPr>
        <w:t xml:space="preserve">6.2 Category Risk</w:t>
      </w:r>
    </w:p>
    <w:p w14:paraId="00100104" w14:textId="00100105">
      <w:pPr>
        <w:spacing w:after="160"/>
      </w:pPr>
      <w:r>
        <w:rPr>
          <w:sz w:val="22"/>
        </w:rPr>
        <w:t xml:space="preserve">Product categories with elevated default rates typically correlate with either high-value items (returns driven by buyer remorse) or low-quality accessories (returns driven by defects). Categories such as Wearables and Gaming may show elevated return rates due to compatibility issues. Electronics carries the highest revenue but also requires monitoring for return fraud.</w:t>
      </w:r>
    </w:p>
    <w:p w14:paraId="00100106" w14:textId="00100107">
      <w:pPr>
        <w:spacing w:after="160"/>
      </w:pPr>
      <w:r>
        <w:rPr>
          <w:sz w:val="22"/>
        </w:rPr>
        <w:t xml:space="preserve">Business Decision: Return policies should be differentiated by category. High-risk categories should require photo verification before return processing.</w:t>
      </w:r>
    </w:p>
    <w:p w14:paraId="00100108" w14:textId="00100109">
      <w:pPr>
        <w:pStyle w:val="Heading2"/>
        <w:spacing w:before="200" w:after="120"/>
      </w:pPr>
      <w:r>
        <w:rPr>
          <w:b/>
          <w:sz w:val="28"/>
        </w:rPr>
        <w:t xml:space="preserve">6.3 Discount Impact</w:t>
      </w:r>
    </w:p>
    <w:p w14:paraId="0010010A" w14:textId="0010010B">
      <w:pPr>
        <w:spacing w:after="160"/>
      </w:pPr>
      <w:r>
        <w:rPr>
          <w:sz w:val="22"/>
        </w:rPr>
        <w:t xml:space="preserve">Analysis of discount bands shows that heavily discounted orders (&gt;20%) tend to carry higher default rates. This is consistent with academic literature on price-motivated purchasing behaviour: customers who buy solely due to discounts have lower genuine purchase intent and are more likely to cancel or return.</w:t>
      </w:r>
    </w:p>
    <w:p w14:paraId="0010010C" w14:textId="0010010D">
      <w:pPr>
        <w:spacing w:after="160"/>
      </w:pPr>
      <w:r>
        <w:rPr>
          <w:sz w:val="22"/>
        </w:rPr>
        <w:t xml:space="preserve">Business Decision: Cap maximum discounts at 15% for high-risk categories. Introduce dynamic pricing that adjusts discounts based on the customer's historical default score.</w:t>
      </w:r>
    </w:p>
    <w:p w14:paraId="0010010E" w14:textId="0010010F">
      <w:pPr>
        <w:pStyle w:val="Heading2"/>
        <w:spacing w:before="200" w:after="120"/>
      </w:pPr>
      <w:r>
        <w:rPr>
          <w:b/>
          <w:sz w:val="28"/>
        </w:rPr>
        <w:t xml:space="preserve">6.4 Customer Segment Risk</w:t>
      </w:r>
    </w:p>
    <w:p w14:paraId="00100110" w14:textId="00100111">
      <w:pPr>
        <w:spacing w:after="160"/>
      </w:pPr>
      <w:r>
        <w:rPr>
          <w:sz w:val="22"/>
        </w:rPr>
        <w:t xml:space="preserve">New customers generally carry higher default risk than Regular or VIP customers, reflecting a lack of purchase history and trust establishment. VIP customers, while high-value, may receive more lenient return policies which could inflate their return rate in certain periods.</w:t>
      </w:r>
    </w:p>
    <w:p w14:paraId="00100112" w14:textId="00100113">
      <w:pPr>
        <w:spacing w:after="160"/>
      </w:pPr>
      <w:r>
        <w:rPr>
          <w:sz w:val="22"/>
        </w:rPr>
        <w:t xml:space="preserve">Business Decision: Apply stricter verification for New customer first orders above a threshold value. Offer VIP-exclusive incentives tied to order completion rather than post-return credits.</w:t>
      </w:r>
    </w:p>
    <w:p w14:paraId="00100114" w14:textId="00100115">
      <w:pPr>
        <w:pStyle w:val="Heading2"/>
        <w:spacing w:before="200" w:after="120"/>
      </w:pPr>
      <w:r>
        <w:rPr>
          <w:b/>
          <w:sz w:val="28"/>
        </w:rPr>
        <w:t xml:space="preserve">6.5 Payment Method Risk</w:t>
      </w:r>
    </w:p>
    <w:p w14:paraId="00100116" w14:textId="00100117">
      <w:pPr>
        <w:spacing w:after="160"/>
      </w:pPr>
      <w:r>
        <w:rPr>
          <w:sz w:val="22"/>
        </w:rPr>
        <w:t xml:space="preserve">Cash on delivery and wallet-based payments show different risk profiles than card-based methods. Gateway payments, being the most common channel, dominate both successful and at-risk orders. CardToCard transactions may carry slightly elevated risk if not validated through 2-factor authentication.</w:t>
      </w:r>
    </w:p>
    <w:p w14:paraId="00100118" w14:textId="00100119">
      <w:pPr>
        <w:spacing w:after="240"/>
      </w:pPr>
      <w:r>
        <w:rPr>
          <w:sz w:val="22"/>
        </w:rPr>
        <w:t xml:space="preserve">Business Decision: Require additional OTP or PIN verification for high-value orders above the average order value threshold for all payment methods flagged with elevated risk rates.</w:t>
      </w:r>
    </w:p>
    <w:p w14:paraId="0010011A" w14:textId="0010011B">
      <w:pPr>
        <w:pStyle w:val="Heading1"/>
        <w:spacing w:before="280" w:after="160"/>
      </w:pPr>
      <w:r>
        <w:rPr>
          <w:b/>
          <w:sz w:val="36"/>
        </w:rPr>
        <w:t xml:space="preserve">7. Dashboard UI Overview</w:t>
      </w:r>
    </w:p>
    <w:p w14:paraId="0010011C" w14:textId="0010011D">
      <w:pPr>
        <w:spacing w:after="160"/>
      </w:pPr>
      <w:r>
        <w:rPr>
          <w:sz w:val="22"/>
        </w:rPr>
        <w:t xml:space="preserve">The Streamlit application (app.py) delivers a multi-tab interactive dashboard. All charts are built using Plotly Express and Graph Objects. The sidebar provides four global filters that apply to all tabs simultaneously.</w:t>
      </w:r>
    </w:p>
    <w:p w14:paraId="0010011E" w14:textId="0010011F">
      <w:pPr>
        <w:pStyle w:val="Heading2"/>
        <w:spacing w:before="200" w:after="120"/>
      </w:pPr>
      <w:r>
        <w:rPr>
          <w:b/>
          <w:sz w:val="28"/>
        </w:rPr>
        <w:t xml:space="preserve">Sidebar Filters</w:t>
      </w:r>
    </w:p>
    <w:p w14:paraId="00100120" w14:textId="00100121">
      <w:pPr>
        <w:numPr>
          <w:ilvl w:val="0"/>
          <w:numId w:val="4"/>
        </w:numPr>
        <w:spacing w:after="60"/>
      </w:pPr>
      <w:r>
        <w:rPr>
          <w:sz w:val="22"/>
        </w:rPr>
        <w:t xml:space="preserve">• Order Year — filter data to a specific calendar year or view all years</w:t>
      </w:r>
    </w:p>
    <w:p w14:paraId="00100122" w14:textId="00100123">
      <w:pPr>
        <w:numPr>
          <w:ilvl w:val="0"/>
          <w:numId w:val="4"/>
        </w:numPr>
        <w:spacing w:after="60"/>
      </w:pPr>
      <w:r>
        <w:rPr>
          <w:sz w:val="22"/>
        </w:rPr>
        <w:t xml:space="preserve">• Product Category — narrow analysis to a single product category</w:t>
      </w:r>
    </w:p>
    <w:p w14:paraId="00100124" w14:textId="00100125">
      <w:pPr>
        <w:numPr>
          <w:ilvl w:val="0"/>
          <w:numId w:val="4"/>
        </w:numPr>
        <w:spacing w:after="60"/>
      </w:pPr>
      <w:r>
        <w:rPr>
          <w:sz w:val="22"/>
        </w:rPr>
        <w:t xml:space="preserve">• Customer Segment — filter to New, Regular, or VIP customers</w:t>
      </w:r>
    </w:p>
    <w:p w14:paraId="00100126" w14:textId="00100127">
      <w:pPr>
        <w:numPr>
          <w:ilvl w:val="0"/>
          <w:numId w:val="4"/>
        </w:numPr>
        <w:spacing w:after="160"/>
      </w:pPr>
      <w:r>
        <w:rPr>
          <w:sz w:val="22"/>
        </w:rPr>
        <w:t xml:space="preserve">• Payment Method — focus on a specific payment channel</w:t>
      </w:r>
    </w:p>
    <w:p w14:paraId="00100128" w14:textId="00100129">
      <w:pPr>
        <w:pStyle w:val="Heading2"/>
        <w:spacing w:before="200" w:after="120"/>
      </w:pPr>
      <w:r>
        <w:rPr>
          <w:b/>
          <w:sz w:val="28"/>
        </w:rPr>
        <w:t xml:space="preserve">Tab 1 — Overview</w:t>
      </w:r>
    </w:p>
    <w:p w14:paraId="0010012A" w14:textId="0010012B">
      <w:pPr>
        <w:spacing w:after="160"/>
      </w:pPr>
      <w:r>
        <w:rPr>
          <w:sz w:val="22"/>
        </w:rPr>
        <w:t xml:space="preserve">Displays 8 KPI metric cards (Total Orders, Unique Customers, Total Revenue, Avg Order Value, At-Risk Orders, Default Rate, Avg Discount, Avg Age) followed by a donut chart of order status distribution and a bar chart of revenue by status. A summary table shows exact counts, totals, and percentages.</w:t>
      </w:r>
    </w:p>
    <w:p w14:paraId="0010012C" w14:textId="0010012D">
      <w:pPr>
        <w:pStyle w:val="Heading2"/>
        <w:spacing w:before="200" w:after="120"/>
      </w:pPr>
      <w:r>
        <w:rPr>
          <w:b/>
          <w:sz w:val="28"/>
        </w:rPr>
        <w:t xml:space="preserve">Tab 2 — Risk Analysis</w:t>
      </w:r>
    </w:p>
    <w:p w14:paraId="0010012E" w14:textId="0010012F">
      <w:pPr>
        <w:spacing w:after="160"/>
      </w:pPr>
      <w:r>
        <w:rPr>
          <w:sz w:val="22"/>
        </w:rPr>
        <w:t xml:space="preserve">Contains six charts: horizontal bar charts for default rate by Category, Payment Method, Customer Segment, and City (top 10), plus a vertical bar chart for Age Group default rates. Each chart uses a red-to-blue colour gradient to visually communicate risk levels. All charts are accompanied by detailed data tables.</w:t>
      </w:r>
    </w:p>
    <w:p w14:paraId="00100130" w14:textId="00100131">
      <w:pPr>
        <w:pStyle w:val="Heading2"/>
        <w:spacing w:before="200" w:after="120"/>
      </w:pPr>
      <w:r>
        <w:rPr>
          <w:b/>
          <w:sz w:val="28"/>
        </w:rPr>
        <w:t xml:space="preserve">Tab 3 — Trends</w:t>
      </w:r>
    </w:p>
    <w:p w14:paraId="00100132" w14:textId="00100133">
      <w:pPr>
        <w:spacing w:after="160"/>
      </w:pPr>
      <w:r>
        <w:rPr>
          <w:sz w:val="22"/>
        </w:rPr>
        <w:t xml:space="preserve">A dual-axis chart plots monthly Revenue (bar, left axis) and Order Count (line, right axis) over time. A separate line chart plots the monthly Default Rate with a dashed average baseline. The table below shows all monthly metrics.</w:t>
      </w:r>
    </w:p>
    <w:p w14:paraId="00100134" w14:textId="00100135">
      <w:pPr>
        <w:pStyle w:val="Heading2"/>
        <w:spacing w:before="200" w:after="120"/>
      </w:pPr>
      <w:r>
        <w:rPr>
          <w:b/>
          <w:sz w:val="28"/>
        </w:rPr>
        <w:t xml:space="preserve">Tab 4 — Products &amp; Discounts</w:t>
      </w:r>
    </w:p>
    <w:p w14:paraId="00100136" w14:textId="00100137">
      <w:pPr>
        <w:spacing w:after="160"/>
      </w:pPr>
      <w:r>
        <w:rPr>
          <w:sz w:val="22"/>
        </w:rPr>
        <w:t xml:space="preserve">Shows the top 10 products by default rate with a colour scale indicating revenue. Two side-by-side charts display default rate by discount band and average sale value by discount band, enabling direct comparison of how discounting behaviour affects financial risk.</w:t>
      </w:r>
    </w:p>
    <w:p w14:paraId="00100138" w14:textId="00100139">
      <w:pPr>
        <w:pStyle w:val="Heading2"/>
        <w:spacing w:before="200" w:after="120"/>
      </w:pPr>
      <w:r>
        <w:rPr>
          <w:b/>
          <w:sz w:val="28"/>
        </w:rPr>
        <w:t xml:space="preserve">Tab 5 — Data Quality</w:t>
      </w:r>
    </w:p>
    <w:p w14:paraId="0010013A" w14:textId="0010013B">
      <w:pPr>
        <w:spacing w:after="160"/>
      </w:pPr>
      <w:r>
        <w:rPr>
          <w:sz w:val="22"/>
        </w:rPr>
        <w:t xml:space="preserve">Displays the full validation report: raw row count, duplicate count, missing value count, and invalid status count. Green success messages confirm clean data in passing checks. Expander sections show numeric summary statistics and a 100-row sample of the cleaned dataset.</w:t>
      </w:r>
    </w:p>
    <w:p w14:paraId="0010013C" w14:textId="0010013D">
      <w:pPr>
        <w:pStyle w:val="Heading2"/>
        <w:spacing w:before="200" w:after="120"/>
      </w:pPr>
      <w:r>
        <w:rPr>
          <w:b/>
          <w:sz w:val="28"/>
        </w:rPr>
        <w:t xml:space="preserve">Tab 6 — Business Insights</w:t>
      </w:r>
    </w:p>
    <w:p w14:paraId="0010013E" w14:textId="0010013F">
      <w:pPr>
        <w:spacing w:after="240"/>
      </w:pPr>
      <w:r>
        <w:rPr>
          <w:sz w:val="22"/>
        </w:rPr>
        <w:t xml:space="preserve">Auto-generated insight cards derived from the filtered dataset highlight the highest-risk dimension in each category. A risk summary table consolidates the top risk dimension across all five analytical axes. Five strategic recommendation cards provide actionable guidance on fraud prevention, inventory management, customer segmentation, discount policy, and monitoring.</w:t>
      </w:r>
    </w:p>
    <w:p w14:paraId="00100140" w14:textId="00100141">
      <w:pPr>
        <w:pStyle w:val="Heading1"/>
        <w:spacing w:before="280" w:after="160"/>
      </w:pPr>
      <w:r>
        <w:rPr>
          <w:b/>
          <w:sz w:val="36"/>
        </w:rPr>
        <w:t xml:space="preserve">8. Project Architecture</w:t>
      </w:r>
    </w:p>
    <w:p w14:paraId="00100142" w14:textId="00100143">
      <w:pPr>
        <w:spacing w:after="160"/>
      </w:pPr>
      <w:r>
        <w:rPr>
          <w:sz w:val="22"/>
        </w:rPr>
        <w:t xml:space="preserve">The project follows a layered architecture separating concerns across three Python modules: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4" w14:textId="00100145">
            <w:r>
              <w:t xml:space="preserve">Module</w:t>
            </w:r>
          </w:p>
        </w:tc>
        <w:tc>
          <w:p w14:paraId="00100146" w14:textId="00100147">
            <w:r>
              <w:t xml:space="preserve">File</w:t>
            </w:r>
          </w:p>
        </w:tc>
        <w:tc>
          <w:p w14:paraId="00100148" w14:textId="00100149">
            <w:r>
              <w:t xml:space="preserve">Responsibility</w:t>
            </w:r>
          </w:p>
        </w:tc>
      </w:tr>
      <w:tr>
        <w:trPr/>
        <w:tc>
          <w:p w14:paraId="0010014A" w14:textId="0010014B">
            <w:r>
              <w:t xml:space="preserve">Data Layer</w:t>
            </w:r>
          </w:p>
        </w:tc>
        <w:tc>
          <w:p w14:paraId="0010014C" w14:textId="0010014D">
            <w:r>
              <w:t xml:space="preserve">data_loader.py</w:t>
            </w:r>
          </w:p>
        </w:tc>
        <w:tc>
          <w:p w14:paraId="0010014E" w14:textId="0010014F">
            <w:r>
              <w:t xml:space="preserve">CSV loading, data validation, cleaning, and feature engineering</w:t>
            </w:r>
          </w:p>
        </w:tc>
      </w:tr>
      <w:tr>
        <w:trPr/>
        <w:tc>
          <w:p w14:paraId="00100150" w14:textId="00100151">
            <w:r>
              <w:t xml:space="preserve">Analytics Layer</w:t>
            </w:r>
          </w:p>
        </w:tc>
        <w:tc>
          <w:p w14:paraId="00100152" w14:textId="00100153">
            <w:r>
              <w:t xml:space="preserve">analytics.py</w:t>
            </w:r>
          </w:p>
        </w:tc>
        <w:tc>
          <w:p w14:paraId="00100154" w14:textId="00100155">
            <w:r>
              <w:t xml:space="preserve">KPIs, grouped summaries, risk metrics, and business insight generation</w:t>
            </w:r>
          </w:p>
        </w:tc>
      </w:tr>
      <w:tr>
        <w:trPr/>
        <w:tc>
          <w:p w14:paraId="00100156" w14:textId="00100157">
            <w:r>
              <w:t xml:space="preserve">Presentation Layer</w:t>
            </w:r>
          </w:p>
        </w:tc>
        <w:tc>
          <w:p w14:paraId="00100158" w14:textId="00100159">
            <w:r>
              <w:t xml:space="preserve">app.py</w:t>
            </w:r>
          </w:p>
        </w:tc>
        <w:tc>
          <w:p w14:paraId="0010015A" w14:textId="0010015B">
            <w:r>
              <w:t xml:space="preserve">Streamlit UI, sidebar filters, 6-tab layout, Plotly charts, styled HTML</w:t>
            </w:r>
          </w:p>
        </w:tc>
      </w:tr>
      <w:tr>
        <w:trPr/>
        <w:tc>
          <w:p w14:paraId="0010015C" w14:textId="0010015D">
            <w:r>
              <w:t xml:space="preserve">Data Source</w:t>
            </w:r>
          </w:p>
        </w:tc>
        <w:tc>
          <w:p w14:paraId="0010015E" w14:textId="0010015F">
            <w:r>
              <w:t xml:space="preserve">clean_final_data.csv</w:t>
            </w:r>
          </w:p>
        </w:tc>
        <w:tc>
          <w:p w14:paraId="00100160" w14:textId="00100161">
            <w:r>
              <w:t xml:space="preserve">Source retail transaction dataset (read-only, never modified)</w:t>
            </w:r>
          </w:p>
        </w:tc>
      </w:tr>
    </w:tbl>
    <w:p w14:paraId="00100162" w14:textId="00100163">
      <w:pPr>
        <w:spacing w:before="160" w:after="160"/>
      </w:pPr>
      <w:r>
        <w:rPr>
          <w:sz w:val="22"/>
        </w:rPr>
        <w:t xml:space="preserve">Data flows as follows: clean_final_data.csv → data_loader.py (load → validate → clean) → cleaned DataFrame → analytics.py (KPIs, groupings, insights) → app.py (Streamlit UI with Plotly charts).</w:t>
      </w:r>
    </w:p>
    <w:p w14:paraId="00100164" w14:textId="00100165">
      <w:pPr>
        <w:spacing w:after="240"/>
      </w:pPr>
      <w:r>
        <w:rPr>
          <w:sz w:val="22"/>
        </w:rPr>
        <w:t xml:space="preserve">The use of @st.cache_data on the data loading function ensures the CSV is read and cleaned only once per session, making the dashboard fast and responsive even when filters change.</w:t>
      </w:r>
    </w:p>
    <w:p w14:paraId="00100166" w14:textId="00100167">
      <w:pPr>
        <w:pStyle w:val="Heading1"/>
        <w:spacing w:before="280" w:after="160"/>
      </w:pPr>
      <w:r>
        <w:rPr>
          <w:b/>
          <w:sz w:val="36"/>
        </w:rPr>
        <w:t xml:space="preserve">9. Conclusions and Recommendations</w:t>
      </w:r>
    </w:p>
    <w:p w14:paraId="00100168" w14:textId="00100169">
      <w:pPr>
        <w:spacing w:after="160"/>
      </w:pPr>
      <w:r>
        <w:rPr>
          <w:sz w:val="22"/>
        </w:rPr>
        <w:t xml:space="preserve">This project demonstrates that financial default risk in retail order data can be systematically identified, measured, and acted upon using standard data analytics techniques. Key conclusions:</w:t>
      </w:r>
    </w:p>
    <w:p w14:paraId="0010016A" w14:textId="0010016B">
      <w:pPr>
        <w:numPr>
          <w:ilvl w:val="0"/>
          <w:numId w:val="5"/>
        </w:numPr>
        <w:spacing w:after="80"/>
      </w:pPr>
      <w:r>
        <w:rPr>
          <w:sz w:val="22"/>
        </w:rPr>
        <w:t xml:space="preserve">1. Default risk is not uniform — it varies significantly across product categories, payment methods, customer segments, age groups, discount tiers, and geographic locations.</w:t>
      </w:r>
    </w:p>
    <w:p w14:paraId="0010016C" w14:textId="0010016D">
      <w:pPr>
        <w:numPr>
          <w:ilvl w:val="0"/>
          <w:numId w:val="5"/>
        </w:numPr>
        <w:spacing w:after="80"/>
      </w:pPr>
      <w:r>
        <w:rPr>
          <w:sz w:val="22"/>
        </w:rPr>
        <w:t xml:space="preserve">2. Discount depth is a strong predictor of default risk — heavily discounted orders consistently return higher cancellation and return rates.</w:t>
      </w:r>
    </w:p>
    <w:p w14:paraId="0010016E" w14:textId="0010016F">
      <w:pPr>
        <w:numPr>
          <w:ilvl w:val="0"/>
          <w:numId w:val="5"/>
        </w:numPr>
        <w:spacing w:after="80"/>
      </w:pPr>
      <w:r>
        <w:rPr>
          <w:sz w:val="22"/>
        </w:rPr>
        <w:t xml:space="preserve">3. New customer orders carry elevated risk compared to Regular and VIP segments, suggesting that early-order verification adds measurable value.</w:t>
      </w:r>
    </w:p>
    <w:p w14:paraId="00100170" w14:textId="00100171">
      <w:pPr>
        <w:numPr>
          <w:ilvl w:val="0"/>
          <w:numId w:val="5"/>
        </w:numPr>
        <w:spacing w:after="80"/>
      </w:pPr>
      <w:r>
        <w:rPr>
          <w:sz w:val="22"/>
        </w:rPr>
        <w:t xml:space="preserve">4. Monthly trends in the default rate enable proactive rather than reactive risk management.</w:t>
      </w:r>
    </w:p>
    <w:p w14:paraId="00100172" w14:textId="00100173">
      <w:pPr>
        <w:numPr>
          <w:ilvl w:val="0"/>
          <w:numId w:val="5"/>
        </w:numPr>
        <w:spacing w:after="160"/>
      </w:pPr>
      <w:r>
        <w:rPr>
          <w:sz w:val="22"/>
        </w:rPr>
        <w:t xml:space="preserve">5. The interactive Streamlit dashboard puts these insights directly in the hands of business decision-makers without requiring any coding skills.</w:t>
      </w:r>
    </w:p>
    <w:p w14:paraId="00100174" w14:textId="00100175">
      <w:pPr>
        <w:spacing w:after="120"/>
      </w:pPr>
      <w:r>
        <w:rPr>
          <w:b/>
          <w:sz w:val="22"/>
        </w:rPr>
        <w:t xml:space="preserve">Strategic Recommendations Summary:</w:t>
      </w:r>
    </w:p>
    <w:p w14:paraId="00100176" w14:textId="00100177">
      <w:pPr>
        <w:numPr>
          <w:ilvl w:val="0"/>
          <w:numId w:val="6"/>
        </w:numPr>
        <w:spacing w:after="60"/>
      </w:pPr>
      <w:r>
        <w:rPr>
          <w:sz w:val="22"/>
        </w:rPr>
        <w:t xml:space="preserve">• Fraud &amp; Return Prevention: Flag order combinations of high-risk payment method + high-risk category for secondary review</w:t>
      </w:r>
    </w:p>
    <w:p w14:paraId="00100178" w14:textId="00100179">
      <w:pPr>
        <w:numPr>
          <w:ilvl w:val="0"/>
          <w:numId w:val="6"/>
        </w:numPr>
        <w:spacing w:after="60"/>
      </w:pPr>
      <w:r>
        <w:rPr>
          <w:sz w:val="22"/>
        </w:rPr>
        <w:t xml:space="preserve">• Discount Policy: Cap discounts at 15% for high-risk categories; use customer risk scores for dynamic discounting</w:t>
      </w:r>
    </w:p>
    <w:p w14:paraId="0010017A" w14:textId="0010017B">
      <w:pPr>
        <w:numPr>
          <w:ilvl w:val="0"/>
          <w:numId w:val="6"/>
        </w:numPr>
        <w:spacing w:after="60"/>
      </w:pPr>
      <w:r>
        <w:rPr>
          <w:sz w:val="22"/>
        </w:rPr>
        <w:t xml:space="preserve">• Segment Strategy: Assign differentiated credit limits and return windows per segment based on historical default rate</w:t>
      </w:r>
    </w:p>
    <w:p w14:paraId="0010017C" w14:textId="0010017D">
      <w:pPr>
        <w:numPr>
          <w:ilvl w:val="0"/>
          <w:numId w:val="6"/>
        </w:numPr>
        <w:spacing w:after="60"/>
      </w:pPr>
      <w:r>
        <w:rPr>
          <w:sz w:val="22"/>
        </w:rPr>
        <w:t xml:space="preserve">• Monitoring: Set automated alerts when default rate exceeds 15% in any dimension for the trailing 30 days</w:t>
      </w:r>
    </w:p>
    <w:p w14:paraId="0010017E" w14:textId="0010017F">
      <w:pPr>
        <w:numPr>
          <w:ilvl w:val="0"/>
          <w:numId w:val="6"/>
        </w:numPr>
        <w:spacing w:after="240"/>
      </w:pPr>
      <w:r>
        <w:rPr>
          <w:sz w:val="22"/>
        </w:rPr>
        <w:t xml:space="preserve">• Data Enrichment: Collect product quality ratings and post-return reason codes to improve root-cause analysis</w:t>
      </w:r>
    </w:p>
    <w:p w14:paraId="00100180" w14:textId="00100181">
      <w:pPr>
        <w:pStyle w:val="Heading1"/>
        <w:spacing w:before="280" w:after="160"/>
      </w:pPr>
      <w:r>
        <w:rPr>
          <w:b/>
          <w:sz w:val="36"/>
        </w:rPr>
        <w:t xml:space="preserve">10. How to Run</w:t>
      </w:r>
    </w:p>
    <w:p w14:paraId="00100182" w14:textId="00100183">
      <w:pPr>
        <w:pStyle w:val="Heading2"/>
        <w:spacing w:before="200" w:after="120"/>
      </w:pPr>
      <w:r>
        <w:rPr>
          <w:b/>
          <w:sz w:val="28"/>
        </w:rPr>
        <w:t xml:space="preserve">Prerequisites</w:t>
      </w:r>
    </w:p>
    <w:p w14:paraId="00100184" w14:textId="00100185">
      <w:pPr>
        <w:numPr>
          <w:ilvl w:val="0"/>
          <w:numId w:val="7"/>
        </w:numPr>
        <w:spacing w:after="60"/>
      </w:pPr>
      <w:r>
        <w:rPr>
          <w:sz w:val="22"/>
        </w:rPr>
        <w:t xml:space="preserve">• Python 3.10 or higher installed</w:t>
      </w:r>
    </w:p>
    <w:p w14:paraId="00100186" w14:textId="00100187">
      <w:pPr>
        <w:numPr>
          <w:ilvl w:val="0"/>
          <w:numId w:val="7"/>
        </w:numPr>
        <w:spacing w:after="160"/>
      </w:pPr>
      <w:r>
        <w:rPr>
          <w:sz w:val="22"/>
        </w:rPr>
        <w:t xml:space="preserve">• clean_final_data.csv placed in the same directory as app.py</w:t>
      </w:r>
    </w:p>
    <w:p w14:paraId="00100188" w14:textId="00100189">
      <w:pPr>
        <w:pStyle w:val="Heading2"/>
        <w:spacing w:before="200" w:after="120"/>
      </w:pPr>
      <w:r>
        <w:rPr>
          <w:b/>
          <w:sz w:val="28"/>
        </w:rPr>
        <w:t xml:space="preserve">Installation</w:t>
      </w:r>
    </w:p>
    <w:p w14:paraId="0010018A" w14:textId="0010018B">
      <w:pPr>
        <w:spacing w:after="120"/>
      </w:pPr>
      <w:r>
        <w:rPr>
          <w:sz w:val="22"/>
        </w:rPr>
        <w:t xml:space="preserve">Run the following command to install all required packages:</w:t>
      </w:r>
    </w:p>
    <w:p w14:paraId="0010018C" w14:textId="0010018D">
      <w:pPr>
        <w:spacing w:after="160"/>
      </w:pPr>
      <w:r>
        <w:rPr>
          <w:b w:val="false"/>
          <w:sz w:val="22"/>
        </w:rPr>
        <w:t xml:space="preserve">    pip install -r requirements.txt</w:t>
      </w:r>
    </w:p>
    <w:p w14:paraId="0010018E" w14:textId="0010018F">
      <w:pPr>
        <w:pStyle w:val="Heading2"/>
        <w:spacing w:before="200" w:after="120"/>
      </w:pPr>
      <w:r>
        <w:rPr>
          <w:b/>
          <w:sz w:val="28"/>
        </w:rPr>
        <w:t xml:space="preserve">Launch the Dashboard</w:t>
      </w:r>
    </w:p>
    <w:p w14:paraId="00100190" w14:textId="00100191">
      <w:pPr>
        <w:spacing w:after="160"/>
      </w:pPr>
      <w:r>
        <w:rPr>
          <w:sz w:val="22"/>
        </w:rPr>
        <w:t xml:space="preserve">    streamlit run app.py</w:t>
      </w:r>
    </w:p>
    <w:p w14:paraId="00100192" w14:textId="00100193">
      <w:pPr>
        <w:spacing w:after="160"/>
      </w:pPr>
      <w:r>
        <w:rPr>
          <w:sz w:val="22"/>
        </w:rPr>
        <w:t xml:space="preserve">The dashboard will open automatically in your default browser at http://localhost:8501. Use the sidebar to apply filters. All six analysis tabs update instantly based on selected filters.</w:t>
      </w:r>
    </w:p>
    <w:p w14:paraId="00100194" w14:textId="00100195">
      <w:pPr>
        <w:pStyle w:val="Heading2"/>
        <w:spacing w:before="200" w:after="120"/>
      </w:pPr>
      <w:r>
        <w:rPr>
          <w:b/>
          <w:sz w:val="28"/>
        </w:rPr>
        <w:t xml:space="preserve">Packages Required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6" w14:textId="00100197">
            <w:r>
              <w:t xml:space="preserve">Package</w:t>
            </w:r>
          </w:p>
        </w:tc>
        <w:tc>
          <w:p w14:paraId="00100198" w14:textId="00100199">
            <w:r>
              <w:t xml:space="preserve">Min Version</w:t>
            </w:r>
          </w:p>
        </w:tc>
        <w:tc>
          <w:p w14:paraId="0010019A" w14:textId="0010019B">
            <w:r>
              <w:t xml:space="preserve">Purpose</w:t>
            </w:r>
          </w:p>
        </w:tc>
      </w:tr>
      <w:tr>
        <w:trPr/>
        <w:tc>
          <w:p w14:paraId="0010019C" w14:textId="0010019D">
            <w:r>
              <w:t xml:space="preserve">streamlit</w:t>
            </w:r>
          </w:p>
        </w:tc>
        <w:tc>
          <w:p w14:paraId="0010019E" w14:textId="0010019F">
            <w:r>
              <w:t xml:space="preserve">1.35.0</w:t>
            </w:r>
          </w:p>
        </w:tc>
        <w:tc>
          <w:p w14:paraId="001001A0" w14:textId="001001A1">
            <w:r>
              <w:t xml:space="preserve">Web dashboard frontend and UI components</w:t>
            </w:r>
          </w:p>
        </w:tc>
      </w:tr>
      <w:tr>
        <w:trPr/>
        <w:tc>
          <w:p w14:paraId="001001A2" w14:textId="001001A3">
            <w:r>
              <w:t xml:space="preserve">pandas</w:t>
            </w:r>
          </w:p>
        </w:tc>
        <w:tc>
          <w:p w14:paraId="001001A4" w14:textId="001001A5">
            <w:r>
              <w:t xml:space="preserve">2.1.0</w:t>
            </w:r>
          </w:p>
        </w:tc>
        <w:tc>
          <w:p w14:paraId="001001A6" w14:textId="001001A7">
            <w:r>
              <w:t xml:space="preserve">Data loading, cleaning, grouping, and aggregation</w:t>
            </w:r>
          </w:p>
        </w:tc>
      </w:tr>
      <w:tr>
        <w:trPr/>
        <w:tc>
          <w:p w14:paraId="001001A8" w14:textId="001001A9">
            <w:r>
              <w:t xml:space="preserve">numpy</w:t>
            </w:r>
          </w:p>
        </w:tc>
        <w:tc>
          <w:p w14:paraId="001001AA" w14:textId="001001AB">
            <w:r>
              <w:t xml:space="preserve">1.26.0</w:t>
            </w:r>
          </w:p>
        </w:tc>
        <w:tc>
          <w:p w14:paraId="001001AC" w14:textId="001001AD">
            <w:r>
              <w:t xml:space="preserve">Numerical operations and array handling</w:t>
            </w:r>
          </w:p>
        </w:tc>
      </w:tr>
      <w:tr>
        <w:trPr/>
        <w:tc>
          <w:p w14:paraId="001001AE" w14:textId="001001AF">
            <w:r>
              <w:t xml:space="preserve">plotly</w:t>
            </w:r>
          </w:p>
        </w:tc>
        <w:tc>
          <w:p w14:paraId="001001B0" w14:textId="001001B1">
            <w:r>
              <w:t xml:space="preserve">5.22.0</w:t>
            </w:r>
          </w:p>
        </w:tc>
        <w:tc>
          <w:p w14:paraId="001001B2" w14:textId="001001B3">
            <w:r>
              <w:t xml:space="preserve">Interactive bar, line, pie, and multi-axis charts</w:t>
            </w:r>
          </w:p>
        </w:tc>
      </w:tr>
      <w:tr>
        <w:trPr/>
        <w:tc>
          <w:p w14:paraId="001001B4" w14:textId="001001B5">
            <w:r>
              <w:t xml:space="preserve">python-docx</w:t>
            </w:r>
          </w:p>
        </w:tc>
        <w:tc>
          <w:p w14:paraId="001001B6" w14:textId="001001B7">
            <w:r>
              <w:t xml:space="preserve">1.1.0</w:t>
            </w:r>
          </w:p>
        </w:tc>
        <w:tc>
          <w:p w14:paraId="001001B8" w14:textId="001001B9">
            <w:r>
              <w:t xml:space="preserve">Project report generation in .docx format</w:t>
            </w:r>
          </w:p>
        </w:tc>
      </w:tr>
    </w:tbl>
    <w:p w14:paraId="001001BA" w14:textId="001001BB">
      <w:pPr>
        <w:spacing w:before="160" w:after="480"/>
      </w:pPr>
      <w:r>
        <w:rPr>
          <w:sz w:val="22"/>
        </w:rPr>
        <w:t xml:space="preserve">This project was developed and tested on Python 3.11 with the package versions listed above. All dependencies are pure Python packages and install without system-level requirements.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d570c3eec2241db" /><Relationship Type="http://schemas.openxmlformats.org/officeDocument/2006/relationships/styles" Target="/word/styles.xml" Id="R613ee5d5ef7f474e" /><Relationship Type="http://schemas.openxmlformats.org/officeDocument/2006/relationships/theme" Target="/word/theme/theme1.xml" Id="R62ebbbe00e004ed0" /><Relationship Type="http://schemas.openxmlformats.org/officeDocument/2006/relationships/numbering" Target="/word/numbering.xml" Id="Rea120446e26b41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2026-09-24T18:04:35Z</dcterms:created>
  <cp:lastModifiedBy>OfficeCLI</cp:lastModifiedBy>
  <dcterms:modified xsi:type="dcterms:W3CDTF">2026-09-24T18:04:35Z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2026-09-24T18:10:33Z</vt:lpwstr>
  </op:property>
</op:Properties>
</file>