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MERIDIAN ADVANCED MANUFACTURING INC.</w:t>
      </w:r>
    </w:p>
    <w:p>
      <w:pPr>
        <w:jc w:val="center"/>
      </w:pPr>
      <w:r>
        <w:rPr>
          <w:b/>
          <w:color w:val="1F3864"/>
          <w:sz w:val="22"/>
        </w:rPr>
        <w:t>STRATEGIC INVESTMENT MEMORANDUM — OPERATIONAL EFFICIENCY REVIEW, Q1–Q2 2024</w:t>
      </w:r>
    </w:p>
    <w:p/>
    <w:tbl>
      <w:tblPr>
        <w:tblStyle w:val="TableGrid"/>
        <w:tblW w:type="auto" w:w="0"/>
        <w:jc w:val="center"/>
        <w:tblLook w:firstColumn="1" w:firstRow="1" w:lastColumn="0" w:lastRow="0" w:noHBand="0" w:noVBand="1" w:val="04A0"/>
      </w:tblPr>
      <w:tblGrid>
        <w:gridCol w:w="4824"/>
        <w:gridCol w:w="4824"/>
      </w:tblGrid>
      <w:tr>
        <w:tc>
          <w:tcPr>
            <w:tcW w:type="dxa" w:w="1296"/>
            <w:shd w:fill="1F3864"/>
          </w:tcPr>
          <w:p>
            <w:r/>
            <w:r>
              <w:rPr>
                <w:b/>
                <w:color w:val="FFFFFF"/>
                <w:sz w:val="18"/>
              </w:rPr>
              <w:t>Field</w:t>
            </w:r>
          </w:p>
        </w:tc>
        <w:tc>
          <w:tcPr>
            <w:tcW w:type="dxa" w:w="8496"/>
            <w:shd w:fill="1F3864"/>
          </w:tcPr>
          <w:p>
            <w:r/>
            <w:r>
              <w:rPr>
                <w:b/>
                <w:color w:val="FFFFFF"/>
                <w:sz w:val="18"/>
              </w:rPr>
              <w:t>Detail</w:t>
            </w:r>
          </w:p>
        </w:tc>
      </w:tr>
      <w:tr>
        <w:tc>
          <w:tcPr>
            <w:tcW w:type="dxa" w:w="1296"/>
          </w:tcPr>
          <w:p>
            <w:r/>
            <w:r>
              <w:rPr>
                <w:b/>
                <w:sz w:val="18"/>
              </w:rPr>
              <w:t>TO</w:t>
            </w:r>
          </w:p>
        </w:tc>
        <w:tc>
          <w:tcPr>
            <w:tcW w:type="dxa" w:w="8496"/>
          </w:tcPr>
          <w:p>
            <w:r/>
            <w:r>
              <w:rPr>
                <w:sz w:val="18"/>
              </w:rPr>
              <w:t>David Chen, Vice President of Operations</w:t>
            </w:r>
          </w:p>
        </w:tc>
      </w:tr>
      <w:tr>
        <w:tc>
          <w:tcPr>
            <w:tcW w:type="dxa" w:w="1296"/>
          </w:tcPr>
          <w:p>
            <w:r/>
            <w:r>
              <w:rPr>
                <w:b/>
                <w:sz w:val="18"/>
              </w:rPr>
              <w:t>FROM</w:t>
            </w:r>
          </w:p>
        </w:tc>
        <w:tc>
          <w:tcPr>
            <w:tcW w:type="dxa" w:w="8496"/>
          </w:tcPr>
          <w:p>
            <w:r/>
            <w:r>
              <w:rPr>
                <w:sz w:val="18"/>
              </w:rPr>
              <w:t>Management Analyst, Operations Efficiency Review</w:t>
            </w:r>
          </w:p>
        </w:tc>
      </w:tr>
      <w:tr>
        <w:tc>
          <w:tcPr>
            <w:tcW w:type="dxa" w:w="1296"/>
          </w:tcPr>
          <w:p>
            <w:r/>
            <w:r>
              <w:rPr>
                <w:b/>
                <w:sz w:val="18"/>
              </w:rPr>
              <w:t>DATE</w:t>
            </w:r>
          </w:p>
        </w:tc>
        <w:tc>
          <w:tcPr>
            <w:tcW w:type="dxa" w:w="8496"/>
          </w:tcPr>
          <w:p>
            <w:r/>
            <w:r>
              <w:rPr>
                <w:sz w:val="18"/>
              </w:rPr>
              <w:t>August 9, 2024</w:t>
            </w:r>
          </w:p>
        </w:tc>
      </w:tr>
      <w:tr>
        <w:tc>
          <w:tcPr>
            <w:tcW w:type="dxa" w:w="1296"/>
          </w:tcPr>
          <w:p>
            <w:r/>
            <w:r>
              <w:rPr>
                <w:b/>
                <w:sz w:val="18"/>
              </w:rPr>
              <w:t>RE</w:t>
            </w:r>
          </w:p>
        </w:tc>
        <w:tc>
          <w:tcPr>
            <w:tcW w:type="dxa" w:w="8496"/>
          </w:tcPr>
          <w:p>
            <w:r/>
            <w:r>
              <w:rPr>
                <w:sz w:val="18"/>
              </w:rPr>
              <w:t>Diagnostic findings, cost of poor quality (COPQ) model, and the Board question on plant consolidation</w:t>
            </w:r>
          </w:p>
        </w:tc>
      </w:tr>
      <w:tr>
        <w:tc>
          <w:tcPr>
            <w:tcW w:type="dxa" w:w="1296"/>
          </w:tcPr>
          <w:p>
            <w:r/>
            <w:r>
              <w:rPr>
                <w:b/>
                <w:sz w:val="18"/>
              </w:rPr>
              <w:t>BASIS</w:t>
            </w:r>
          </w:p>
        </w:tc>
        <w:tc>
          <w:tcPr>
            <w:tcW w:type="dxa" w:w="8496"/>
          </w:tcPr>
          <w:p>
            <w:r/>
            <w:r>
              <w:rPr>
                <w:sz w:val="18"/>
              </w:rPr>
              <w:t>Meridian_Plant_Operations_Q1Q2_2024.xlsx; Meridian_Customer_Complaints_Q1Q2_2024.csv; manufacturing_defect_dataset.csv (n=3,240); FRED MCUMFN (Jan–Jun 2024)</w:t>
            </w:r>
          </w:p>
        </w:tc>
      </w:tr>
    </w:tbl>
    <w:p>
      <w:pPr>
        <w:spacing w:after="40"/>
      </w:pPr>
    </w:p>
    <w:p>
      <w:pPr>
        <w:spacing w:before="120" w:after="80"/>
      </w:pPr>
      <w:r>
        <w:rPr>
          <w:b/>
          <w:color w:val="1F3864"/>
          <w:sz w:val="24"/>
        </w:rPr>
        <w:t>1. EXECUTIVE SUMMARY</w:t>
      </w:r>
    </w:p>
    <w:p>
      <w:r>
        <w:rPr>
          <w:b w:val="0"/>
          <w:sz w:val="21"/>
        </w:rPr>
        <w:t>Analysis of January–June 2024 operations across the four plants confirms genuine and widening performance dispersion, but it does not support the specific figures circulated in the engagement memo, several of which the data contradicts (Section 2). Three findings dominate: (i) Phoenix — not Columbus or Portland — is the weakest plant overall, ranking last on our composite operational health index (defect rate 54.7 per 1,000 units, 2.9× Nashville; OTD 88.2%; cost per unit $67.93, a 21.8% spread across the network); (ii) Portland shows the steepest deterioration (OTD −1.32 pp/month, defect rate +3.11 per 1,000 per month) and holds 3 of the 5 product-line watch items, breaching the 92% delivery SLA every month from March through June; and (iii) the quality system is leaking $428,935 in the half-year — 3.5% of total production cost — with $857,871 annualized run-rate. We recommend a targeted $1.12M Phase-1 asset renewal at Columbus plus quality/workforce stabilization at Phoenix and Portland, and we advise the Board to defer plant consolidation: utilization of 91–100% against a 75.8% national average leaves no idle capacity to absorb transferred volume.</w:t>
      </w:r>
    </w:p>
    <w:p>
      <w:pPr>
        <w:spacing w:before="200" w:after="80"/>
      </w:pPr>
      <w:r>
        <w:rPr>
          <w:b/>
          <w:color w:val="1F3864"/>
          <w:sz w:val="26"/>
        </w:rPr>
        <w:t>2. VERIFICATION OF MEMO FIGURES AGAINST ACTUAL DATA</w:t>
      </w:r>
    </w:p>
    <w:p>
      <w:r>
        <w:rPr>
          <w:b w:val="0"/>
          <w:sz w:val="21"/>
        </w:rPr>
        <w:t>Per your instruction, every headline figure in your memo was tested against the operational data before use. Results:</w:t>
      </w:r>
    </w:p>
    <w:tbl>
      <w:tblPr>
        <w:tblStyle w:val="TableGrid"/>
        <w:tblW w:type="auto" w:w="0"/>
        <w:jc w:val="center"/>
        <w:tblLook w:firstColumn="1" w:firstRow="1" w:lastColumn="0" w:lastRow="0" w:noHBand="0" w:noVBand="1" w:val="04A0"/>
      </w:tblPr>
      <w:tblGrid>
        <w:gridCol w:w="4824"/>
        <w:gridCol w:w="4824"/>
      </w:tblGrid>
      <w:tr>
        <w:tc>
          <w:tcPr>
            <w:tcW w:type="dxa" w:w="3456"/>
            <w:shd w:fill="1F3864"/>
          </w:tcPr>
          <w:p>
            <w:r/>
            <w:r>
              <w:rPr>
                <w:b/>
                <w:color w:val="FFFFFF"/>
                <w:sz w:val="18"/>
              </w:rPr>
              <w:t>Memo claim</w:t>
            </w:r>
          </w:p>
        </w:tc>
        <w:tc>
          <w:tcPr>
            <w:tcW w:type="dxa" w:w="6336"/>
            <w:shd w:fill="1F3864"/>
          </w:tcPr>
          <w:p>
            <w:r/>
            <w:r>
              <w:rPr>
                <w:b/>
                <w:color w:val="FFFFFF"/>
                <w:sz w:val="18"/>
              </w:rPr>
              <w:t>Verdict against data</w:t>
            </w:r>
          </w:p>
        </w:tc>
      </w:tr>
      <w:tr>
        <w:tc>
          <w:tcPr>
            <w:tcW w:type="dxa" w:w="3456"/>
          </w:tcPr>
          <w:p>
            <w:r/>
            <w:r>
              <w:rPr>
                <w:b/>
                <w:sz w:val="18"/>
              </w:rPr>
              <w:t>Operating margin 14.2% → 11.8% → ~10.9%</w:t>
            </w:r>
          </w:p>
        </w:tc>
        <w:tc>
          <w:tcPr>
            <w:tcW w:type="dxa" w:w="6336"/>
          </w:tcPr>
          <w:p>
            <w:r/>
            <w:r>
              <w:rPr>
                <w:sz w:val="18"/>
              </w:rPr>
              <w:t>Not verifiable — no P&amp;L data in provided datasets. The measurable quality-related margin drag is COPQ of $428.9K in H1 (3.5% of production cost; range 1.5% Nashville to 4.6% Phoenix).</w:t>
            </w:r>
          </w:p>
        </w:tc>
      </w:tr>
      <w:tr>
        <w:tc>
          <w:tcPr>
            <w:tcW w:type="dxa" w:w="3456"/>
          </w:tcPr>
          <w:p>
            <w:r/>
            <w:r>
              <w:rPr>
                <w:b/>
                <w:sz w:val="18"/>
              </w:rPr>
              <w:t>Defect rates rising "particularly at Columbus and Portland"</w:t>
            </w:r>
          </w:p>
        </w:tc>
        <w:tc>
          <w:tcPr>
            <w:tcW w:type="dxa" w:w="6336"/>
          </w:tcPr>
          <w:p>
            <w:r/>
            <w:r>
              <w:rPr>
                <w:sz w:val="18"/>
              </w:rPr>
              <w:t>Partially supported. Phoenix has the highest defect rate (54.7/1,000, bottom industry quartile); Columbus worsens +0.95/1,000 per month; Portland worsens fastest at +3.11/1,000 per month.</w:t>
            </w:r>
          </w:p>
        </w:tc>
      </w:tr>
      <w:tr>
        <w:tc>
          <w:tcPr>
            <w:tcW w:type="dxa" w:w="3456"/>
          </w:tcPr>
          <w:p>
            <w:r/>
            <w:r>
              <w:rPr>
                <w:b/>
                <w:sz w:val="18"/>
              </w:rPr>
              <w:t>Portland OTD fell to ~87.3% vs 94.1%</w:t>
            </w:r>
          </w:p>
        </w:tc>
        <w:tc>
          <w:tcPr>
            <w:tcW w:type="dxa" w:w="6336"/>
          </w:tcPr>
          <w:p>
            <w:r/>
            <w:r>
              <w:rPr>
                <w:sz w:val="18"/>
              </w:rPr>
              <w:t>Directionally correct, level overstated. Actual H1 average is 90.0%; the trend is real and the steepest in the network (92.7% Jan → 86.4% Jun; −1.32 pp/month), below the 92% SLA in each of March–June.</w:t>
            </w:r>
          </w:p>
        </w:tc>
      </w:tr>
      <w:tr>
        <w:tc>
          <w:tcPr>
            <w:tcW w:type="dxa" w:w="3456"/>
          </w:tcPr>
          <w:p>
            <w:r/>
            <w:r>
              <w:rPr>
                <w:b/>
                <w:sz w:val="18"/>
              </w:rPr>
              <w:t>Columbus equipment downtime +18% YoY</w:t>
            </w:r>
          </w:p>
        </w:tc>
        <w:tc>
          <w:tcPr>
            <w:tcW w:type="dxa" w:w="6336"/>
          </w:tcPr>
          <w:p>
            <w:r/>
            <w:r>
              <w:rPr>
                <w:sz w:val="18"/>
              </w:rPr>
              <w:t>Not verifiable — no FY2023 baseline supplied. H1 2024 unplanned downtime is network-high at 757 hrs (4.4% of total hours); the within-2024 trend is flat-to-declining. Fleet age (avg 12.1 yrs) is the confirmed driver.</w:t>
            </w:r>
          </w:p>
        </w:tc>
      </w:tr>
      <w:tr>
        <w:tc>
          <w:tcPr>
            <w:tcW w:type="dxa" w:w="3456"/>
          </w:tcPr>
          <w:p>
            <w:r/>
            <w:r>
              <w:rPr>
                <w:b/>
                <w:sz w:val="18"/>
              </w:rPr>
              <w:t>Phoenix utilization ~58% vs 72% target</w:t>
            </w:r>
          </w:p>
        </w:tc>
        <w:tc>
          <w:tcPr>
            <w:tcW w:type="dxa" w:w="6336"/>
          </w:tcPr>
          <w:p>
            <w:r/>
            <w:r>
              <w:rPr>
                <w:sz w:val="18"/>
              </w:rPr>
              <w:t>Not supported. Hours-based utilization is 91.2% and target attainment 91.5% — both ~15 pp above the FRED national average. Phoenix’s actual problem is quality (54.7 defects/1,000) and workforce instability (23.2% turnover), not capacity.</w:t>
            </w:r>
          </w:p>
        </w:tc>
      </w:tr>
      <w:tr>
        <w:tc>
          <w:tcPr>
            <w:tcW w:type="dxa" w:w="3456"/>
          </w:tcPr>
          <w:p>
            <w:r/>
            <w:r>
              <w:rPr>
                <w:b/>
                <w:sz w:val="18"/>
              </w:rPr>
              <w:t>CSAT 4.3 → 3.7; ~820 employees</w:t>
            </w:r>
          </w:p>
        </w:tc>
        <w:tc>
          <w:tcPr>
            <w:tcW w:type="dxa" w:w="6336"/>
          </w:tcPr>
          <w:p>
            <w:r/>
            <w:r>
              <w:rPr>
                <w:sz w:val="18"/>
              </w:rPr>
              <w:t>CSAT not verifiable from supplied data; the complaint log (61 complaints, 13 Critical) is the usable proxy. Headcount is 765 (702 FT + 63 PT), ~7% below the memo figure.</w:t>
            </w:r>
          </w:p>
        </w:tc>
      </w:tr>
    </w:tbl>
    <w:p>
      <w:pPr>
        <w:spacing w:after="40"/>
      </w:pPr>
    </w:p>
    <w:p>
      <w:pPr>
        <w:spacing w:before="200" w:after="80"/>
      </w:pPr>
      <w:r>
        <w:rPr>
          <w:b/>
          <w:color w:val="1F3864"/>
          <w:sz w:val="26"/>
        </w:rPr>
        <w:t>3. WHAT THE DIAGNOSTICS SHOW (Deliverable 1, five-tab workbook)</w:t>
      </w:r>
    </w:p>
    <w:p>
      <w:pPr>
        <w:pStyle w:val="ListBullet"/>
        <w:spacing w:after="60"/>
      </w:pPr>
      <w:r>
        <w:rPr>
          <w:b/>
          <w:sz w:val="21"/>
        </w:rPr>
        <w:t xml:space="preserve">Plant Scorecard — </w:t>
      </w:r>
      <w:r>
        <w:rPr>
          <w:sz w:val="21"/>
        </w:rPr>
        <w:t>Composite health ranking: Nashville #1 (OEE 96.1%, 18.8 defects/1,000, 95.7% OTD, 2.0% downtime, $55.79/unit), Columbus #2, Portland #3, Phoenix #4 (OEE 91.4%, 54.7 defects/1,000, 88.2% OTD, $67.93/unit).</w:t>
      </w:r>
    </w:p>
    <w:p>
      <w:pPr>
        <w:pStyle w:val="ListBullet"/>
        <w:spacing w:after="60"/>
      </w:pPr>
      <w:r>
        <w:rPr>
          <w:b/>
          <w:sz w:val="21"/>
        </w:rPr>
        <w:t xml:space="preserve">Trend Diagnostics — </w:t>
      </w:r>
      <w:r>
        <w:rPr>
          <w:sz w:val="21"/>
        </w:rPr>
        <w:t>5 of 12 plant–product-line combinations flagged as watch items; Portland holds 3 (Precision Components defect slope +5.35/1,000 per month, Jan 26.6 → Jun 55.5), Columbus Precision Components and Nashville Assembly Modules complete the list.</w:t>
      </w:r>
    </w:p>
    <w:p>
      <w:pPr>
        <w:pStyle w:val="ListBullet"/>
        <w:spacing w:after="60"/>
      </w:pPr>
      <w:r>
        <w:rPr>
          <w:b/>
          <w:sz w:val="21"/>
        </w:rPr>
        <w:t xml:space="preserve">Industry Benchmark — </w:t>
      </w:r>
      <w:r>
        <w:rPr>
          <w:sz w:val="21"/>
        </w:rPr>
        <w:t>Every plant operates 15–24 pp above the FRED U.S. manufacturing utilization average of 75.8% (Nashville +23.8 pp at 99.6%; Phoenix +15.4 pp at 91.2%). Against the industry defect benchmark, Nashville sits in the 2nd quartile; Columbus, Portland and Phoenix sit in the bottom quartile. Columbus and Portland are also in the bottom quartile for unplanned downtime.</w:t>
      </w:r>
    </w:p>
    <w:p>
      <w:pPr>
        <w:pStyle w:val="ListBullet"/>
        <w:spacing w:after="60"/>
      </w:pPr>
      <w:r>
        <w:rPr>
          <w:b/>
          <w:sz w:val="21"/>
        </w:rPr>
        <w:t xml:space="preserve">Complaint Crossref — </w:t>
      </w:r>
      <w:r>
        <w:rPr>
          <w:sz w:val="21"/>
        </w:rPr>
        <w:t>Downtime correlates with complaint severity (r ≈ 0.50, n=24 plant-months). Portland logs the highest complaint rate (0.51 per 1,000 units) and slowest resolution (18.4 days); Phoenix the highest severity (2.89/4, incl. 7 Critical).</w:t>
      </w:r>
    </w:p>
    <w:p>
      <w:pPr>
        <w:pStyle w:val="ListBullet"/>
        <w:spacing w:after="60"/>
      </w:pPr>
      <w:r>
        <w:rPr>
          <w:b/>
          <w:sz w:val="21"/>
        </w:rPr>
        <w:t xml:space="preserve">Equipment Risk Matrix — </w:t>
      </w:r>
      <w:r>
        <w:rPr>
          <w:sz w:val="21"/>
        </w:rPr>
        <w:t>5 of 28 equipment items meet the replacement threshold (age &gt;8 yrs and condition ≤5) — all at Columbus, $2.66M estimated capital, led by a 16-year-old surface grinder (condition 3, 12 yrs since overhaul). Phoenix’s fleet is newest (avg 1.9 yrs) yet its CMM inspection station already rates 4/10 — a commissioning/process issue, not age.</w:t>
      </w:r>
    </w:p>
    <w:p>
      <w:pPr>
        <w:spacing w:before="200" w:after="80"/>
      </w:pPr>
      <w:r>
        <w:rPr>
          <w:b/>
          <w:color w:val="1F3864"/>
          <w:sz w:val="26"/>
        </w:rPr>
        <w:t>4. COST OF POOR QUALITY (Deliverable 2, Meridian_COPQ_Analysis.csv)</w:t>
      </w:r>
    </w:p>
    <w:p>
      <w:r>
        <w:rPr>
          <w:b w:val="0"/>
          <w:sz w:val="21"/>
        </w:rPr>
        <w:t>COPQ components per the agreed model — scrap at full material cost; rework at 40% of labor cost per unit; returns at material cost; complaints severity-weighted (Critical $5,000 / High $2,500 / Medium $1,000 / Low $250); downtime at unplanned hours × labor cost per actual hour:</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584"/>
            <w:shd w:fill="1F3864"/>
          </w:tcPr>
          <w:p>
            <w:r/>
            <w:r>
              <w:rPr>
                <w:b/>
                <w:color w:val="FFFFFF"/>
                <w:sz w:val="18"/>
              </w:rPr>
              <w:t>Plant</w:t>
            </w:r>
          </w:p>
        </w:tc>
        <w:tc>
          <w:tcPr>
            <w:tcW w:type="dxa" w:w="1080"/>
            <w:shd w:fill="1F3864"/>
          </w:tcPr>
          <w:p>
            <w:r/>
            <w:r>
              <w:rPr>
                <w:b/>
                <w:color w:val="FFFFFF"/>
                <w:sz w:val="18"/>
              </w:rPr>
              <w:t>Scrap</w:t>
            </w:r>
          </w:p>
        </w:tc>
        <w:tc>
          <w:tcPr>
            <w:tcW w:type="dxa" w:w="1080"/>
            <w:shd w:fill="1F3864"/>
          </w:tcPr>
          <w:p>
            <w:r/>
            <w:r>
              <w:rPr>
                <w:b/>
                <w:color w:val="FFFFFF"/>
                <w:sz w:val="18"/>
              </w:rPr>
              <w:t>Rework</w:t>
            </w:r>
          </w:p>
        </w:tc>
        <w:tc>
          <w:tcPr>
            <w:tcW w:type="dxa" w:w="1152"/>
            <w:shd w:fill="1F3864"/>
          </w:tcPr>
          <w:p>
            <w:r/>
            <w:r>
              <w:rPr>
                <w:b/>
                <w:color w:val="FFFFFF"/>
                <w:sz w:val="18"/>
              </w:rPr>
              <w:t>Returns</w:t>
            </w:r>
          </w:p>
        </w:tc>
        <w:tc>
          <w:tcPr>
            <w:tcW w:type="dxa" w:w="1368"/>
            <w:shd w:fill="1F3864"/>
          </w:tcPr>
          <w:p>
            <w:r/>
            <w:r>
              <w:rPr>
                <w:b/>
                <w:color w:val="FFFFFF"/>
                <w:sz w:val="18"/>
              </w:rPr>
              <w:t>Complaints</w:t>
            </w:r>
          </w:p>
        </w:tc>
        <w:tc>
          <w:tcPr>
            <w:tcW w:type="dxa" w:w="1296"/>
            <w:shd w:fill="1F3864"/>
          </w:tcPr>
          <w:p>
            <w:r/>
            <w:r>
              <w:rPr>
                <w:b/>
                <w:color w:val="FFFFFF"/>
                <w:sz w:val="18"/>
              </w:rPr>
              <w:t>Downtime</w:t>
            </w:r>
          </w:p>
        </w:tc>
        <w:tc>
          <w:tcPr>
            <w:tcW w:type="dxa" w:w="1368"/>
            <w:shd w:fill="1F3864"/>
          </w:tcPr>
          <w:p>
            <w:r/>
            <w:r>
              <w:rPr>
                <w:b/>
                <w:color w:val="FFFFFF"/>
                <w:sz w:val="18"/>
              </w:rPr>
              <w:t>Total COPQ</w:t>
            </w:r>
          </w:p>
        </w:tc>
        <w:tc>
          <w:tcPr>
            <w:tcW w:type="dxa" w:w="1296"/>
            <w:shd w:fill="1F3864"/>
          </w:tcPr>
          <w:p>
            <w:r/>
            <w:r>
              <w:rPr>
                <w:b/>
                <w:color w:val="FFFFFF"/>
                <w:sz w:val="18"/>
              </w:rPr>
              <w:t>% of prod. cost</w:t>
            </w:r>
          </w:p>
        </w:tc>
      </w:tr>
      <w:tr>
        <w:tc>
          <w:tcPr>
            <w:tcW w:type="dxa" w:w="1584"/>
          </w:tcPr>
          <w:p>
            <w:r/>
            <w:r>
              <w:rPr>
                <w:b/>
                <w:sz w:val="18"/>
              </w:rPr>
              <w:t>Nashville TN</w:t>
            </w:r>
          </w:p>
        </w:tc>
        <w:tc>
          <w:tcPr>
            <w:tcW w:type="dxa" w:w="1080"/>
          </w:tcPr>
          <w:p>
            <w:r/>
            <w:r>
              <w:rPr>
                <w:sz w:val="18"/>
              </w:rPr>
              <w:t>$3,280</w:t>
            </w:r>
          </w:p>
        </w:tc>
        <w:tc>
          <w:tcPr>
            <w:tcW w:type="dxa" w:w="1080"/>
          </w:tcPr>
          <w:p>
            <w:r/>
            <w:r>
              <w:rPr>
                <w:sz w:val="18"/>
              </w:rPr>
              <w:t>$3,576</w:t>
            </w:r>
          </w:p>
        </w:tc>
        <w:tc>
          <w:tcPr>
            <w:tcW w:type="dxa" w:w="1152"/>
          </w:tcPr>
          <w:p>
            <w:r/>
            <w:r>
              <w:rPr>
                <w:sz w:val="18"/>
              </w:rPr>
              <w:t>$10,613</w:t>
            </w:r>
          </w:p>
        </w:tc>
        <w:tc>
          <w:tcPr>
            <w:tcW w:type="dxa" w:w="1368"/>
          </w:tcPr>
          <w:p>
            <w:r/>
            <w:r>
              <w:rPr>
                <w:sz w:val="18"/>
              </w:rPr>
              <w:t>$6,500</w:t>
            </w:r>
          </w:p>
        </w:tc>
        <w:tc>
          <w:tcPr>
            <w:tcW w:type="dxa" w:w="1296"/>
          </w:tcPr>
          <w:p>
            <w:r/>
            <w:r>
              <w:rPr>
                <w:sz w:val="18"/>
              </w:rPr>
              <w:t>$16,967</w:t>
            </w:r>
          </w:p>
        </w:tc>
        <w:tc>
          <w:tcPr>
            <w:tcW w:type="dxa" w:w="1368"/>
          </w:tcPr>
          <w:p>
            <w:r/>
            <w:r>
              <w:rPr>
                <w:sz w:val="18"/>
              </w:rPr>
              <w:t>$40,936</w:t>
            </w:r>
          </w:p>
        </w:tc>
        <w:tc>
          <w:tcPr>
            <w:tcW w:type="dxa" w:w="1296"/>
          </w:tcPr>
          <w:p>
            <w:r/>
            <w:r>
              <w:rPr>
                <w:sz w:val="18"/>
              </w:rPr>
              <w:t>1.45%</w:t>
            </w:r>
          </w:p>
        </w:tc>
      </w:tr>
      <w:tr>
        <w:tc>
          <w:tcPr>
            <w:tcW w:type="dxa" w:w="1584"/>
          </w:tcPr>
          <w:p>
            <w:r/>
            <w:r>
              <w:rPr>
                <w:b/>
                <w:sz w:val="18"/>
              </w:rPr>
              <w:t>Columbus OH</w:t>
            </w:r>
          </w:p>
        </w:tc>
        <w:tc>
          <w:tcPr>
            <w:tcW w:type="dxa" w:w="1080"/>
          </w:tcPr>
          <w:p>
            <w:r/>
            <w:r>
              <w:rPr>
                <w:sz w:val="18"/>
              </w:rPr>
              <w:t>$12,925</w:t>
            </w:r>
          </w:p>
        </w:tc>
        <w:tc>
          <w:tcPr>
            <w:tcW w:type="dxa" w:w="1080"/>
          </w:tcPr>
          <w:p>
            <w:r/>
            <w:r>
              <w:rPr>
                <w:sz w:val="18"/>
              </w:rPr>
              <w:t>$7,101</w:t>
            </w:r>
          </w:p>
        </w:tc>
        <w:tc>
          <w:tcPr>
            <w:tcW w:type="dxa" w:w="1152"/>
          </w:tcPr>
          <w:p>
            <w:r/>
            <w:r>
              <w:rPr>
                <w:sz w:val="18"/>
              </w:rPr>
              <w:t>$22,492</w:t>
            </w:r>
          </w:p>
        </w:tc>
        <w:tc>
          <w:tcPr>
            <w:tcW w:type="dxa" w:w="1368"/>
          </w:tcPr>
          <w:p>
            <w:r/>
            <w:r>
              <w:rPr>
                <w:sz w:val="18"/>
              </w:rPr>
              <w:t>$32,500</w:t>
            </w:r>
          </w:p>
        </w:tc>
        <w:tc>
          <w:tcPr>
            <w:tcW w:type="dxa" w:w="1296"/>
          </w:tcPr>
          <w:p>
            <w:r/>
            <w:r>
              <w:rPr>
                <w:sz w:val="18"/>
              </w:rPr>
              <w:t>$45,595</w:t>
            </w:r>
          </w:p>
        </w:tc>
        <w:tc>
          <w:tcPr>
            <w:tcW w:type="dxa" w:w="1368"/>
          </w:tcPr>
          <w:p>
            <w:r/>
            <w:r>
              <w:rPr>
                <w:sz w:val="18"/>
              </w:rPr>
              <w:t>$120,613</w:t>
            </w:r>
          </w:p>
        </w:tc>
        <w:tc>
          <w:tcPr>
            <w:tcW w:type="dxa" w:w="1296"/>
          </w:tcPr>
          <w:p>
            <w:r/>
            <w:r>
              <w:rPr>
                <w:sz w:val="18"/>
              </w:rPr>
              <w:t>3.61%</w:t>
            </w:r>
          </w:p>
        </w:tc>
      </w:tr>
      <w:tr>
        <w:tc>
          <w:tcPr>
            <w:tcW w:type="dxa" w:w="1584"/>
          </w:tcPr>
          <w:p>
            <w:r/>
            <w:r>
              <w:rPr>
                <w:b/>
                <w:sz w:val="18"/>
              </w:rPr>
              <w:t>Portland OR</w:t>
            </w:r>
          </w:p>
        </w:tc>
        <w:tc>
          <w:tcPr>
            <w:tcW w:type="dxa" w:w="1080"/>
          </w:tcPr>
          <w:p>
            <w:r/>
            <w:r>
              <w:rPr>
                <w:sz w:val="18"/>
              </w:rPr>
              <w:t>$10,597</w:t>
            </w:r>
          </w:p>
        </w:tc>
        <w:tc>
          <w:tcPr>
            <w:tcW w:type="dxa" w:w="1080"/>
          </w:tcPr>
          <w:p>
            <w:r/>
            <w:r>
              <w:rPr>
                <w:sz w:val="18"/>
              </w:rPr>
              <w:t>$7,494</w:t>
            </w:r>
          </w:p>
        </w:tc>
        <w:tc>
          <w:tcPr>
            <w:tcW w:type="dxa" w:w="1152"/>
          </w:tcPr>
          <w:p>
            <w:r/>
            <w:r>
              <w:rPr>
                <w:sz w:val="18"/>
              </w:rPr>
              <w:t>$26,784</w:t>
            </w:r>
          </w:p>
        </w:tc>
        <w:tc>
          <w:tcPr>
            <w:tcW w:type="dxa" w:w="1368"/>
          </w:tcPr>
          <w:p>
            <w:r/>
            <w:r>
              <w:rPr>
                <w:sz w:val="18"/>
              </w:rPr>
              <w:t>$46,750</w:t>
            </w:r>
          </w:p>
        </w:tc>
        <w:tc>
          <w:tcPr>
            <w:tcW w:type="dxa" w:w="1296"/>
          </w:tcPr>
          <w:p>
            <w:r/>
            <w:r>
              <w:rPr>
                <w:sz w:val="18"/>
              </w:rPr>
              <w:t>$39,653</w:t>
            </w:r>
          </w:p>
        </w:tc>
        <w:tc>
          <w:tcPr>
            <w:tcW w:type="dxa" w:w="1368"/>
          </w:tcPr>
          <w:p>
            <w:r/>
            <w:r>
              <w:rPr>
                <w:sz w:val="18"/>
              </w:rPr>
              <w:t>$131,279</w:t>
            </w:r>
          </w:p>
        </w:tc>
        <w:tc>
          <w:tcPr>
            <w:tcW w:type="dxa" w:w="1296"/>
          </w:tcPr>
          <w:p>
            <w:r/>
            <w:r>
              <w:rPr>
                <w:sz w:val="18"/>
              </w:rPr>
              <w:t>4.26%</w:t>
            </w:r>
          </w:p>
        </w:tc>
      </w:tr>
      <w:tr>
        <w:tc>
          <w:tcPr>
            <w:tcW w:type="dxa" w:w="1584"/>
          </w:tcPr>
          <w:p>
            <w:r/>
            <w:r>
              <w:rPr>
                <w:b/>
                <w:sz w:val="18"/>
              </w:rPr>
              <w:t>Phoenix AZ</w:t>
            </w:r>
          </w:p>
        </w:tc>
        <w:tc>
          <w:tcPr>
            <w:tcW w:type="dxa" w:w="1080"/>
          </w:tcPr>
          <w:p>
            <w:r/>
            <w:r>
              <w:rPr>
                <w:sz w:val="18"/>
              </w:rPr>
              <w:t>$13,540</w:t>
            </w:r>
          </w:p>
        </w:tc>
        <w:tc>
          <w:tcPr>
            <w:tcW w:type="dxa" w:w="1080"/>
          </w:tcPr>
          <w:p>
            <w:r/>
            <w:r>
              <w:rPr>
                <w:sz w:val="18"/>
              </w:rPr>
              <w:t>$12,302</w:t>
            </w:r>
          </w:p>
        </w:tc>
        <w:tc>
          <w:tcPr>
            <w:tcW w:type="dxa" w:w="1152"/>
          </w:tcPr>
          <w:p>
            <w:r/>
            <w:r>
              <w:rPr>
                <w:sz w:val="18"/>
              </w:rPr>
              <w:t>$23,759</w:t>
            </w:r>
          </w:p>
        </w:tc>
        <w:tc>
          <w:tcPr>
            <w:tcW w:type="dxa" w:w="1368"/>
          </w:tcPr>
          <w:p>
            <w:r/>
            <w:r>
              <w:rPr>
                <w:sz w:val="18"/>
              </w:rPr>
              <w:t>$49,750</w:t>
            </w:r>
          </w:p>
        </w:tc>
        <w:tc>
          <w:tcPr>
            <w:tcW w:type="dxa" w:w="1296"/>
          </w:tcPr>
          <w:p>
            <w:r/>
            <w:r>
              <w:rPr>
                <w:sz w:val="18"/>
              </w:rPr>
              <w:t>$36,755</w:t>
            </w:r>
          </w:p>
        </w:tc>
        <w:tc>
          <w:tcPr>
            <w:tcW w:type="dxa" w:w="1368"/>
          </w:tcPr>
          <w:p>
            <w:r/>
            <w:r>
              <w:rPr>
                <w:sz w:val="18"/>
              </w:rPr>
              <w:t>$136,106</w:t>
            </w:r>
          </w:p>
        </w:tc>
        <w:tc>
          <w:tcPr>
            <w:tcW w:type="dxa" w:w="1296"/>
          </w:tcPr>
          <w:p>
            <w:r/>
            <w:r>
              <w:rPr>
                <w:sz w:val="18"/>
              </w:rPr>
              <w:t>4.60%</w:t>
            </w:r>
          </w:p>
        </w:tc>
      </w:tr>
      <w:tr>
        <w:tc>
          <w:tcPr>
            <w:tcW w:type="dxa" w:w="1584"/>
          </w:tcPr>
          <w:p>
            <w:r/>
            <w:r>
              <w:rPr>
                <w:b/>
                <w:sz w:val="18"/>
              </w:rPr>
              <w:t>ALL PLANTS</w:t>
            </w:r>
          </w:p>
        </w:tc>
        <w:tc>
          <w:tcPr>
            <w:tcW w:type="dxa" w:w="1080"/>
          </w:tcPr>
          <w:p>
            <w:r/>
            <w:r>
              <w:rPr>
                <w:sz w:val="18"/>
              </w:rPr>
              <w:t>$40,343</w:t>
            </w:r>
          </w:p>
        </w:tc>
        <w:tc>
          <w:tcPr>
            <w:tcW w:type="dxa" w:w="1080"/>
          </w:tcPr>
          <w:p>
            <w:r/>
            <w:r>
              <w:rPr>
                <w:sz w:val="18"/>
              </w:rPr>
              <w:t>$30,473</w:t>
            </w:r>
          </w:p>
        </w:tc>
        <w:tc>
          <w:tcPr>
            <w:tcW w:type="dxa" w:w="1152"/>
          </w:tcPr>
          <w:p>
            <w:r/>
            <w:r>
              <w:rPr>
                <w:sz w:val="18"/>
              </w:rPr>
              <w:t>$83,649</w:t>
            </w:r>
          </w:p>
        </w:tc>
        <w:tc>
          <w:tcPr>
            <w:tcW w:type="dxa" w:w="1368"/>
          </w:tcPr>
          <w:p>
            <w:r/>
            <w:r>
              <w:rPr>
                <w:sz w:val="18"/>
              </w:rPr>
              <w:t>$135,500</w:t>
            </w:r>
          </w:p>
        </w:tc>
        <w:tc>
          <w:tcPr>
            <w:tcW w:type="dxa" w:w="1296"/>
          </w:tcPr>
          <w:p>
            <w:r/>
            <w:r>
              <w:rPr>
                <w:sz w:val="18"/>
              </w:rPr>
              <w:t>$138,971</w:t>
            </w:r>
          </w:p>
        </w:tc>
        <w:tc>
          <w:tcPr>
            <w:tcW w:type="dxa" w:w="1368"/>
          </w:tcPr>
          <w:p>
            <w:r/>
            <w:r>
              <w:rPr>
                <w:sz w:val="18"/>
              </w:rPr>
              <w:t>$428,935</w:t>
            </w:r>
          </w:p>
        </w:tc>
        <w:tc>
          <w:tcPr>
            <w:tcW w:type="dxa" w:w="1296"/>
          </w:tcPr>
          <w:p>
            <w:r/>
            <w:r>
              <w:rPr>
                <w:sz w:val="18"/>
              </w:rPr>
              <w:t>3.51%</w:t>
            </w:r>
          </w:p>
        </w:tc>
      </w:tr>
    </w:tbl>
    <w:p>
      <w:pPr>
        <w:spacing w:after="40"/>
      </w:pPr>
    </w:p>
    <w:p>
      <w:r>
        <w:rPr>
          <w:b w:val="0"/>
          <w:sz w:val="18"/>
        </w:rPr>
        <w:t>Note: total production cost = raw material + labor + maintenance; energy is recorded in kWh without dollar values. Phoenix carries 1,317 more defects than it would at Nashville’s rate; downtime is the single largest COPQ component network-wide ($139.0K).</w:t>
      </w:r>
    </w:p>
    <w:p>
      <w:pPr>
        <w:spacing w:before="200" w:after="80"/>
      </w:pPr>
      <w:r>
        <w:rPr>
          <w:b/>
          <w:color w:val="1F3864"/>
          <w:sz w:val="26"/>
        </w:rPr>
        <w:t>5. THE BOARD’S CONSOLIDATION QUESTION — RECOMMENDATION: DEFER</w:t>
      </w:r>
    </w:p>
    <w:p>
      <w:r>
        <w:rPr>
          <w:b w:val="0"/>
          <w:sz w:val="21"/>
        </w:rPr>
        <w:t>Consolidation would not improve margins under current conditions, for four evidence-based reasons:</w:t>
      </w:r>
    </w:p>
    <w:p>
      <w:pPr>
        <w:pStyle w:val="ListBullet"/>
        <w:spacing w:after="60"/>
      </w:pPr>
      <w:r>
        <w:rPr>
          <w:b/>
          <w:sz w:val="21"/>
        </w:rPr>
        <w:t xml:space="preserve">Capacity: </w:t>
      </w:r>
      <w:r>
        <w:rPr>
          <w:sz w:val="21"/>
        </w:rPr>
        <w:t>No idle capacity to absorb volume. Plants run at 91.2–99.6% utilization versus the 75.8% national average. Nashville — the only plant we would designate a receiver — is effectively full (99.6%, 184 units of half-year headroom). Consolidation would force either new capacity capex or service failures, negating overhead savings.</w:t>
      </w:r>
    </w:p>
    <w:p>
      <w:pPr>
        <w:pStyle w:val="ListBullet"/>
        <w:spacing w:after="60"/>
      </w:pPr>
      <w:r>
        <w:rPr>
          <w:b/>
          <w:sz w:val="21"/>
        </w:rPr>
        <w:t xml:space="preserve">Cost structure: </w:t>
      </w:r>
      <w:r>
        <w:rPr>
          <w:sz w:val="21"/>
        </w:rPr>
        <w:t>The cost spread is quality-driven, not scale-driven. The $55.79–$67.93 unit-cost spread tracks defect rates (18.8 vs 54.7 per 1,000), COPQ intensity (1.45% vs 4.60%) and workforce instability (Phoenix turnover 23.2%, tenure 2.4 yrs), not plant size. Phoenix also runs the newest equipment (avg 1.9 yrs) — closing it would strand recent capital while its problems (people and process) would transfer with the volume.</w:t>
      </w:r>
    </w:p>
    <w:p>
      <w:pPr>
        <w:pStyle w:val="ListBullet"/>
        <w:spacing w:after="60"/>
      </w:pPr>
      <w:r>
        <w:rPr>
          <w:b/>
          <w:sz w:val="21"/>
        </w:rPr>
        <w:t xml:space="preserve">Equipment: </w:t>
      </w:r>
      <w:r>
        <w:rPr>
          <w:sz w:val="21"/>
        </w:rPr>
        <w:t>The capital need is concentrated, not distributed. $2.66M of the network’s $2.66M replacement requirement sits at Columbus, which also holds the deepest process tenure (12.5 yrs avg). That investment is required whether or not the footprint changes; closing Columbus would export its problem equipment or force its replacement elsewhere at the same cost.</w:t>
      </w:r>
    </w:p>
    <w:p>
      <w:pPr>
        <w:pStyle w:val="ListBullet"/>
        <w:spacing w:after="60"/>
      </w:pPr>
      <w:r>
        <w:rPr>
          <w:b/>
          <w:sz w:val="21"/>
        </w:rPr>
        <w:t xml:space="preserve">Sizing: </w:t>
      </w:r>
      <w:r>
        <w:rPr>
          <w:sz w:val="21"/>
        </w:rPr>
        <w:t>The prize is small relative to the risk. Total COPQ is $428.9K per half-year (3.5% of production cost); even eliminating it entirely would not cover consolidation transition costs, logistics re-qualification for aerospace customers, and loss of 765 skilled heads’ institutional knowledge — all while two Tier-1 accounts are already escalating quality complaints.</w:t>
      </w:r>
    </w:p>
    <w:p>
      <w:r>
        <w:rPr>
          <w:b w:val="0"/>
          <w:sz w:val="21"/>
        </w:rPr>
        <w:t>We will revisit consolidation with FY2025 data after the asset and quality investments below; if Phoenix quality does not converge within four quarters, consolidation of its additive capacity back to Columbus becomes a live option.</w:t>
      </w:r>
    </w:p>
    <w:p>
      <w:pPr>
        <w:spacing w:before="200" w:after="80"/>
      </w:pPr>
      <w:r>
        <w:rPr>
          <w:b/>
          <w:color w:val="1F3864"/>
          <w:sz w:val="26"/>
        </w:rPr>
        <w:t>6. PRIORITIZED INVESTMENT RECOMMENDATIONS (H1 2024 basis; annualized ×2)</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432"/>
            <w:shd w:fill="1F3864"/>
          </w:tcPr>
          <w:p>
            <w:r/>
            <w:r>
              <w:rPr>
                <w:b/>
                <w:color w:val="FFFFFF"/>
                <w:sz w:val="18"/>
              </w:rPr>
              <w:t>#</w:t>
            </w:r>
          </w:p>
        </w:tc>
        <w:tc>
          <w:tcPr>
            <w:tcW w:type="dxa" w:w="3024"/>
            <w:shd w:fill="1F3864"/>
          </w:tcPr>
          <w:p>
            <w:r/>
            <w:r>
              <w:rPr>
                <w:b/>
                <w:color w:val="FFFFFF"/>
                <w:sz w:val="18"/>
              </w:rPr>
              <w:t>Intervention</w:t>
            </w:r>
          </w:p>
        </w:tc>
        <w:tc>
          <w:tcPr>
            <w:tcW w:type="dxa" w:w="1296"/>
            <w:shd w:fill="1F3864"/>
          </w:tcPr>
          <w:p>
            <w:r/>
            <w:r>
              <w:rPr>
                <w:b/>
                <w:color w:val="FFFFFF"/>
                <w:sz w:val="18"/>
              </w:rPr>
              <w:t>Investment</w:t>
            </w:r>
          </w:p>
        </w:tc>
        <w:tc>
          <w:tcPr>
            <w:tcW w:type="dxa" w:w="3744"/>
            <w:shd w:fill="1F3864"/>
          </w:tcPr>
          <w:p>
            <w:r/>
            <w:r>
              <w:rPr>
                <w:b/>
                <w:color w:val="FFFFFF"/>
                <w:sz w:val="18"/>
              </w:rPr>
              <w:t>Estimated impact</w:t>
            </w:r>
          </w:p>
        </w:tc>
        <w:tc>
          <w:tcPr>
            <w:tcW w:type="dxa" w:w="1296"/>
            <w:shd w:fill="1F3864"/>
          </w:tcPr>
          <w:p>
            <w:r/>
            <w:r>
              <w:rPr>
                <w:b/>
                <w:color w:val="FFFFFF"/>
                <w:sz w:val="18"/>
              </w:rPr>
              <w:t>Timeline</w:t>
            </w:r>
          </w:p>
        </w:tc>
      </w:tr>
      <w:tr>
        <w:tc>
          <w:tcPr>
            <w:tcW w:type="dxa" w:w="432"/>
          </w:tcPr>
          <w:p>
            <w:r/>
            <w:r>
              <w:rPr>
                <w:b/>
                <w:sz w:val="18"/>
              </w:rPr>
              <w:t>1</w:t>
            </w:r>
          </w:p>
        </w:tc>
        <w:tc>
          <w:tcPr>
            <w:tcW w:type="dxa" w:w="3024"/>
          </w:tcPr>
          <w:p>
            <w:r/>
            <w:r>
              <w:rPr>
                <w:sz w:val="18"/>
              </w:rPr>
              <w:t>Columbus Phase-1 asset renewal: replace the two condition-3 units (EQ-0001 surface grinder, $471.6K; EQ-0006 hydraulic press, $644.1K); overhaul-monitor the remaining three</w:t>
            </w:r>
          </w:p>
        </w:tc>
        <w:tc>
          <w:tcPr>
            <w:tcW w:type="dxa" w:w="1296"/>
          </w:tcPr>
          <w:p>
            <w:r/>
            <w:r>
              <w:rPr>
                <w:sz w:val="18"/>
              </w:rPr>
              <w:t>$1.12M capex</w:t>
            </w:r>
          </w:p>
        </w:tc>
        <w:tc>
          <w:tcPr>
            <w:tcW w:type="dxa" w:w="3744"/>
          </w:tcPr>
          <w:p>
            <w:r/>
            <w:r>
              <w:rPr>
                <w:sz w:val="18"/>
              </w:rPr>
              <w:t>Columbus excess maintenance is $421.3K per half-year vs Nashville ($18.47 vs $8.28/unit); a 30% closure ≈ $253K/yr plus ~$36K/yr downtime-cost reduction and scrap avoidance; removes end-of-life failure risk on 16-yr-old, 12-yr-since-overhaul assets</w:t>
            </w:r>
          </w:p>
        </w:tc>
        <w:tc>
          <w:tcPr>
            <w:tcW w:type="dxa" w:w="1296"/>
          </w:tcPr>
          <w:p>
            <w:r/>
            <w:r>
              <w:rPr>
                <w:sz w:val="18"/>
              </w:rPr>
              <w:t>Q4 2024–Q2 2025</w:t>
            </w:r>
          </w:p>
        </w:tc>
      </w:tr>
      <w:tr>
        <w:tc>
          <w:tcPr>
            <w:tcW w:type="dxa" w:w="432"/>
          </w:tcPr>
          <w:p>
            <w:r/>
            <w:r>
              <w:rPr>
                <w:b/>
                <w:sz w:val="18"/>
              </w:rPr>
              <w:t>2</w:t>
            </w:r>
          </w:p>
        </w:tc>
        <w:tc>
          <w:tcPr>
            <w:tcW w:type="dxa" w:w="3024"/>
          </w:tcPr>
          <w:p>
            <w:r/>
            <w:r>
              <w:rPr>
                <w:sz w:val="18"/>
              </w:rPr>
              <w:t>Phoenix quality &amp; workforce stabilization: retention and skills-matrix program (turnover 23.2% vs 9.2–16.4% elsewhere), SPC deployment, rebuild/recommission CMM inspection station (condition 4/10 at age 3)</w:t>
            </w:r>
          </w:p>
        </w:tc>
        <w:tc>
          <w:tcPr>
            <w:tcW w:type="dxa" w:w="1296"/>
          </w:tcPr>
          <w:p>
            <w:r/>
            <w:r>
              <w:rPr>
                <w:sz w:val="18"/>
              </w:rPr>
              <w:t>~$150K opex + CMM service</w:t>
            </w:r>
          </w:p>
        </w:tc>
        <w:tc>
          <w:tcPr>
            <w:tcW w:type="dxa" w:w="3744"/>
          </w:tcPr>
          <w:p>
            <w:r/>
            <w:r>
              <w:rPr>
                <w:sz w:val="18"/>
              </w:rPr>
              <w:t>Closing half the 1,317-defect gap to Nashville’s rate ≈ $90K/yr in scrap/rework/returns and complaint costs; stabilizing Phoenix also attacks its $5.48/unit premium (~$401K/yr headroom) and 7 Critical complaints</w:t>
            </w:r>
          </w:p>
        </w:tc>
        <w:tc>
          <w:tcPr>
            <w:tcW w:type="dxa" w:w="1296"/>
          </w:tcPr>
          <w:p>
            <w:r/>
            <w:r>
              <w:rPr>
                <w:sz w:val="18"/>
              </w:rPr>
              <w:t>Q4 2024 start</w:t>
            </w:r>
          </w:p>
        </w:tc>
      </w:tr>
      <w:tr>
        <w:tc>
          <w:tcPr>
            <w:tcW w:type="dxa" w:w="432"/>
          </w:tcPr>
          <w:p>
            <w:r/>
            <w:r>
              <w:rPr>
                <w:b/>
                <w:sz w:val="18"/>
              </w:rPr>
              <w:t>3</w:t>
            </w:r>
          </w:p>
        </w:tc>
        <w:tc>
          <w:tcPr>
            <w:tcW w:type="dxa" w:w="3024"/>
          </w:tcPr>
          <w:p>
            <w:r/>
            <w:r>
              <w:rPr>
                <w:sz w:val="18"/>
              </w:rPr>
              <w:t>Portland delivery recovery: TPM on the overhaul-overdue EDM/CNC-milling units, load-leveling (heijunka) in scheduling, complaint-resolution SLA of 7 days (now 18.4)</w:t>
            </w:r>
          </w:p>
        </w:tc>
        <w:tc>
          <w:tcPr>
            <w:tcW w:type="dxa" w:w="1296"/>
          </w:tcPr>
          <w:p>
            <w:r/>
            <w:r>
              <w:rPr>
                <w:sz w:val="18"/>
              </w:rPr>
              <w:t>~$80K opex</w:t>
            </w:r>
          </w:p>
        </w:tc>
        <w:tc>
          <w:tcPr>
            <w:tcW w:type="dxa" w:w="3744"/>
          </w:tcPr>
          <w:p>
            <w:r/>
            <w:r>
              <w:rPr>
                <w:sz w:val="18"/>
              </w:rPr>
              <w:t>Reverses the network’s worst slopes (OTD −1.32 pp/mo; defects +3.11/1,000 per mo); restores ≥92% SLA compliance breached since March, protecting Tier-1 aerospace revenue; COPQ gap to network median ≈ $40K/yr</w:t>
            </w:r>
          </w:p>
        </w:tc>
        <w:tc>
          <w:tcPr>
            <w:tcW w:type="dxa" w:w="1296"/>
          </w:tcPr>
          <w:p>
            <w:r/>
            <w:r>
              <w:rPr>
                <w:sz w:val="18"/>
              </w:rPr>
              <w:t>Immediate (Q3 2024)</w:t>
            </w:r>
          </w:p>
        </w:tc>
      </w:tr>
      <w:tr>
        <w:tc>
          <w:tcPr>
            <w:tcW w:type="dxa" w:w="432"/>
          </w:tcPr>
          <w:p>
            <w:r/>
            <w:r>
              <w:rPr>
                <w:b/>
                <w:sz w:val="18"/>
              </w:rPr>
              <w:t>4</w:t>
            </w:r>
          </w:p>
        </w:tc>
        <w:tc>
          <w:tcPr>
            <w:tcW w:type="dxa" w:w="3024"/>
          </w:tcPr>
          <w:p>
            <w:r/>
            <w:r>
              <w:rPr>
                <w:sz w:val="18"/>
              </w:rPr>
              <w:t>Network lean program with Nashville as internal benchmark: value-stream mapping, 5S, kaizen events at the three lagging plants</w:t>
            </w:r>
          </w:p>
        </w:tc>
        <w:tc>
          <w:tcPr>
            <w:tcW w:type="dxa" w:w="1296"/>
          </w:tcPr>
          <w:p>
            <w:r/>
            <w:r>
              <w:rPr>
                <w:sz w:val="18"/>
              </w:rPr>
              <w:t>~$60K opex (training exists: 20–44 hrs/employee)</w:t>
            </w:r>
          </w:p>
        </w:tc>
        <w:tc>
          <w:tcPr>
            <w:tcW w:type="dxa" w:w="3744"/>
          </w:tcPr>
          <w:p>
            <w:r/>
            <w:r>
              <w:rPr>
                <w:sz w:val="18"/>
              </w:rPr>
              <w:t>A 20% cut in network scrap/rework/returns ($154.5K per half-year) ≈ $62K/yr, plus downtime-cost reduction from TPM</w:t>
            </w:r>
          </w:p>
        </w:tc>
        <w:tc>
          <w:tcPr>
            <w:tcW w:type="dxa" w:w="1296"/>
          </w:tcPr>
          <w:p>
            <w:r/>
            <w:r>
              <w:rPr>
                <w:sz w:val="18"/>
              </w:rPr>
              <w:t>Rolling from Q4 2024</w:t>
            </w:r>
          </w:p>
        </w:tc>
      </w:tr>
    </w:tbl>
    <w:p>
      <w:pPr>
        <w:spacing w:after="40"/>
      </w:pPr>
    </w:p>
    <w:p>
      <w:r>
        <w:rPr>
          <w:b w:val="0"/>
          <w:sz w:val="21"/>
        </w:rPr>
        <w:t>Total Phase-1 capital of $1.12M plus ~$290K of Year-1 program cost yields quantified benefits of roughly $0.5M per year (≈$290K Columbus maintenance/downtime, ≈$90K Phoenix quality, ≈$40K Portland COPQ, ≈$90K lean program) — an indicative payback of three to four years on quantified savings alone, before the larger unquantified exposures it retires: SLA breach penalties, aerospace customer attrition, and end-of-life equipment failure at Columbus.</w:t>
      </w:r>
    </w:p>
    <w:p>
      <w:pPr>
        <w:spacing w:before="200" w:after="80"/>
      </w:pPr>
      <w:r>
        <w:rPr>
          <w:b/>
          <w:color w:val="1F3864"/>
          <w:sz w:val="26"/>
        </w:rPr>
        <w:t>7. NEXT STEPS</w:t>
      </w:r>
    </w:p>
    <w:p>
      <w:pPr>
        <w:pStyle w:val="ListBullet"/>
        <w:spacing w:after="60"/>
      </w:pPr>
      <w:r>
        <w:rPr>
          <w:sz w:val="21"/>
        </w:rPr>
        <w:t>Approve $1.12M Phase-1 capital for Columbus and the Phoenix/Portland program budgets at the August Executive Committee.</w:t>
      </w:r>
    </w:p>
    <w:p>
      <w:pPr>
        <w:pStyle w:val="ListBullet"/>
        <w:spacing w:after="60"/>
      </w:pPr>
      <w:r>
        <w:rPr>
          <w:sz w:val="21"/>
        </w:rPr>
        <w:t>Commission a P&amp;L extract by plant so margin compression can be attributed precisely (cost inflation vs inefficiency vs mix) — the one claim in your memo we could not test.</w:t>
      </w:r>
    </w:p>
    <w:p>
      <w:pPr>
        <w:pStyle w:val="ListBullet"/>
        <w:spacing w:after="60"/>
      </w:pPr>
      <w:r>
        <w:rPr>
          <w:sz w:val="21"/>
        </w:rPr>
        <w:t>Stand up monthly watch-item reporting from the Trend Diagnostics tab; Phoenix Custom Fabrication and Assembly Modules require early-warning monitoring despite currently improving trends.</w:t>
      </w:r>
    </w:p>
    <w:p>
      <w:pPr>
        <w:pStyle w:val="ListBullet"/>
        <w:spacing w:after="60"/>
      </w:pPr>
      <w:r>
        <w:rPr>
          <w:sz w:val="21"/>
        </w:rPr>
        <w:t>Reassess the consolidation question with FY2025 Q1 data, using the same workbook framework.</w:t>
      </w:r>
    </w:p>
    <w:p>
      <w:r>
        <w:rPr>
          <w:b w:val="0"/>
          <w:sz w:val="21"/>
        </w:rPr>
      </w:r>
    </w:p>
    <w:p>
      <w:r>
        <w:rPr>
          <w:b w:val="0"/>
          <w:color w:val="595959"/>
          <w:sz w:val="17"/>
        </w:rPr>
        <w:t>Prepared from the Q1–Q2 2024 diagnostic workbook and COPQ model. All figures reproducible from the cited source files. CONFIDENTIAL — internal use only.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