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864"/>
          <w:sz w:val="32"/>
        </w:rPr>
        <w:t>NOVATRANS LOGISTICS — BOARD DECISION BRIEF</w:t>
      </w:r>
    </w:p>
    <w:p>
      <w:pPr>
        <w:spacing w:after="120"/>
      </w:pPr>
      <w:r>
        <w:rPr>
          <w:color w:val="595959"/>
          <w:sz w:val="17"/>
        </w:rPr>
        <w:t>Plant Consolidation Strategy: Candidate Screening, Redistribution Economics and Go/No-Go Recommendations</w:t>
        <w:br/>
        <w:t>Prepared by: Management Analyst consulting team | For: Board of Directors, NovaTrans Logistics | Basis: COO engagement memo (15-Jan-2024) as escalated by the Board + pinned datasets</w:t>
        <w:br/>
        <w:t>Companion deliverable: Plant_Consolidation_Scoring_Model.xlsx (Composite_Score · Consolidation_Scenarios · Risk_Matrix · Data_Reconciliation) | Classification: CONFIDENTIAL</w:t>
      </w:r>
    </w:p>
    <w:p>
      <w:pPr>
        <w:spacing w:before="160" w:after="60"/>
      </w:pPr>
      <w:r>
        <w:rPr>
          <w:b/>
          <w:color w:val="1F3864"/>
          <w:sz w:val="24"/>
        </w:rPr>
        <w:t>1. Purpose and Strategic Alignment</w:t>
      </w:r>
    </w:p>
    <w:p>
      <w:r>
        <w:rPr>
          <w:sz w:val="20"/>
        </w:rPr>
        <w:t>This brief responds to the Board's post-meeting directive to identify 3–5 candidate plants for closure or consolidation, alongside — not instead of — the COO's network efficiency review. We screened all 19 plants with a weighted composite model built exclusively on the pinned datasets, and stress-tested the leading candidates against network topology, freight rates and customer data.</w:t>
      </w:r>
    </w:p>
    <w:tbl>
      <w:tblPr>
        <w:tblStyle w:val="TableGrid"/>
        <w:tblW w:type="auto" w:w="0"/>
        <w:jc w:val="center"/>
        <w:tblLayout w:type="fixed"/>
        <w:tblLook w:firstColumn="1" w:firstRow="1" w:lastColumn="0" w:lastRow="0" w:noHBand="0" w:noVBand="1" w:val="04A0"/>
      </w:tblPr>
      <w:tblGrid>
        <w:gridCol w:w="5213"/>
        <w:gridCol w:w="5213"/>
      </w:tblGrid>
      <w:tr>
        <w:tc>
          <w:tcPr>
            <w:tcW w:type="dxa" w:w="4819"/>
            <w:shd w:val="clear" w:fill="1F3864"/>
          </w:tcPr>
          <w:p>
            <w:pPr>
              <w:spacing w:after="0"/>
            </w:pPr>
            <w:r/>
            <w:r>
              <w:rPr>
                <w:b/>
                <w:color w:val="FFFFFF"/>
                <w:sz w:val="17"/>
              </w:rPr>
              <w:t>Where the memo and the Board directive ALIGN</w:t>
            </w:r>
          </w:p>
        </w:tc>
        <w:tc>
          <w:tcPr>
            <w:tcW w:type="dxa" w:w="4819"/>
            <w:shd w:val="clear" w:fill="1F3864"/>
          </w:tcPr>
          <w:p>
            <w:pPr>
              <w:spacing w:after="0"/>
            </w:pPr>
            <w:r/>
            <w:r>
              <w:rPr>
                <w:b/>
                <w:color w:val="FFFFFF"/>
                <w:sz w:val="17"/>
              </w:rPr>
              <w:t>Where they CONFLICT — and how this brief resolves it</w:t>
            </w:r>
          </w:p>
        </w:tc>
      </w:tr>
      <w:tr>
        <w:tc>
          <w:tcPr>
            <w:tcW w:type="dxa" w:w="4819"/>
          </w:tcPr>
          <w:p>
            <w:pPr>
              <w:spacing w:after="0"/>
            </w:pPr>
            <w:r/>
            <w:r>
              <w:rPr>
                <w:sz w:val="17"/>
              </w:rPr>
              <w:t>Both pursue margin recovery; the memo itself asks "whether certain low-volume plants should be consolidated or repurposed" (§2). The directive operationalises that open question.</w:t>
            </w:r>
          </w:p>
        </w:tc>
        <w:tc>
          <w:tcPr>
            <w:tcW w:type="dxa" w:w="4819"/>
          </w:tcPr>
          <w:p>
            <w:pPr>
              <w:spacing w:after="0"/>
            </w:pPr>
            <w:r/>
            <w:r>
              <w:rPr>
                <w:sz w:val="17"/>
              </w:rPr>
              <w:t>Risk appetite: the memo seeks optimisation within the existing 19-plant network (rebalancing, lane re-pricing); the Board seeks structural pruning. We separate reversible actions (consolidation) from irreversible ones (closure) in the Go/No-Go matrix.</w:t>
            </w:r>
          </w:p>
        </w:tc>
      </w:tr>
      <w:tr>
        <w:tc>
          <w:tcPr>
            <w:tcW w:type="dxa" w:w="4819"/>
            <w:shd w:val="clear" w:fill="F2F2F2"/>
          </w:tcPr>
          <w:p>
            <w:pPr>
              <w:spacing w:after="0"/>
            </w:pPr>
            <w:r/>
            <w:r>
              <w:rPr>
                <w:sz w:val="17"/>
              </w:rPr>
              <w:t>Both rely on the same evidence base and both demand data-driven justification with quantified impact (memo §3.5).</w:t>
            </w:r>
          </w:p>
        </w:tc>
        <w:tc>
          <w:tcPr>
            <w:tcW w:type="dxa" w:w="4819"/>
            <w:shd w:val="clear" w:fill="F2F2F2"/>
          </w:tcPr>
          <w:p>
            <w:pPr>
              <w:spacing w:after="0"/>
            </w:pPr>
            <w:r/>
            <w:r>
              <w:rPr>
                <w:sz w:val="17"/>
              </w:rPr>
              <w:t>Evidence quality: two memo premises fail verification — the "SEA mode" does not exist in the rate card, and AIR is actually the cheaper mode like-for-like (R-06/R-07); stated capacity was misread as throughput (R-04). Mode-switching savings and utilisation percentages must not be used to justify closures.</w:t>
            </w:r>
          </w:p>
        </w:tc>
      </w:tr>
      <w:tr>
        <w:tc>
          <w:tcPr>
            <w:tcW w:type="dxa" w:w="4819"/>
          </w:tcPr>
          <w:p>
            <w:pPr>
              <w:spacing w:after="0"/>
            </w:pPr>
            <w:r/>
            <w:r>
              <w:rPr>
                <w:sz w:val="17"/>
              </w:rPr>
              <w:t>Our candidate set (PLANT19, 08, 09, 15, 06) is drawn from the imbalance the memo flagged between high-volume plants (PLANT01: 1,070 units/day stated) and near-dormant ones (PLANT15: 11).</w:t>
            </w:r>
          </w:p>
        </w:tc>
        <w:tc>
          <w:tcPr>
            <w:tcW w:type="dxa" w:w="4819"/>
          </w:tcPr>
          <w:p>
            <w:pPr>
              <w:spacing w:after="0"/>
            </w:pPr>
            <w:r/>
            <w:r>
              <w:rPr>
                <w:sz w:val="17"/>
              </w:rPr>
              <w:t>Data sufficiency: fixed-cost release — the core closure benefit — is unquantifiable because WhCosts.csv holds only a variable cost-per-unit column (R-08). We therefore phase the decision and gate physical shutdowns behind a fixed-cost audit.</w:t>
            </w:r>
          </w:p>
        </w:tc>
      </w:tr>
    </w:tbl>
    <w:p>
      <w:pPr>
        <w:spacing w:before="160" w:after="60"/>
      </w:pPr>
      <w:r>
        <w:rPr>
          <w:b/>
          <w:color w:val="1F3864"/>
          <w:sz w:val="24"/>
        </w:rPr>
        <w:t>2. Methodology Statement</w:t>
      </w:r>
    </w:p>
    <w:p>
      <w:r>
        <w:rPr>
          <w:b/>
          <w:sz w:val="20"/>
        </w:rPr>
        <w:t xml:space="preserve">Operational definition. </w:t>
      </w:r>
      <w:r>
        <w:rPr>
          <w:sz w:val="20"/>
        </w:rPr>
        <w:t>a plant is structurally unviable when its scale, unit handling economics, network position and service record, taken together, no longer justify standalone operation and its role can be absorbed by peers without loss of port access. The memo does not define the term; this definition makes it measurable and was applied uniformly to all 19 plants.</w:t>
      </w:r>
    </w:p>
    <w:p>
      <w:r>
        <w:rPr>
          <w:b/>
          <w:sz w:val="20"/>
        </w:rPr>
        <w:t xml:space="preserve">Data. </w:t>
      </w:r>
      <w:r>
        <w:rPr>
          <w:sz w:val="20"/>
        </w:rPr>
        <w:t>nine pinned sources: OrderList.csv (9,215 orders, 29.5M units), WhCapacities.csv (stated daily capacity, 5,791 units network-wide), WhCosts.csv ($/unit), PlantPorts.csv (19 plants, 11 ports), FreightRates.csv (1,539 rate rows, 9 carriers), and the Q4-2023 survey (50 responses) and complaint log (18 cases). All findings reconcile to the Data_Reconciliation tab, where 6 claims verify, 4 verify with caveats and 3 are not supported.</w:t>
      </w:r>
    </w:p>
    <w:p>
      <w:r>
        <w:rPr>
          <w:b/>
          <w:sz w:val="20"/>
        </w:rPr>
        <w:t xml:space="preserve">Scoring model. </w:t>
      </w:r>
      <w:r>
        <w:rPr>
          <w:sz w:val="20"/>
        </w:rPr>
        <w:t>each plant scores 0–100 on five dimensions; the composite is the weighted sum. Scores are linear (log-scaled for capacity) and reproducible; weights are live cells in the workbook so the Board can stress-test them.</w:t>
      </w:r>
    </w:p>
    <w:tbl>
      <w:tblPr>
        <w:tblStyle w:val="TableGrid"/>
        <w:tblW w:type="auto" w:w="0"/>
        <w:jc w:val="center"/>
        <w:tblLayout w:type="fixed"/>
        <w:tblLook w:firstColumn="1" w:firstRow="1" w:lastColumn="0" w:lastRow="0" w:noHBand="0" w:noVBand="1" w:val="04A0"/>
      </w:tblPr>
      <w:tblGrid>
        <w:gridCol w:w="3475"/>
        <w:gridCol w:w="3475"/>
        <w:gridCol w:w="3475"/>
      </w:tblGrid>
      <w:tr>
        <w:tc>
          <w:tcPr>
            <w:tcW w:type="dxa" w:w="2041"/>
            <w:shd w:val="clear" w:fill="1F3864"/>
          </w:tcPr>
          <w:p>
            <w:pPr>
              <w:spacing w:after="0"/>
            </w:pPr>
            <w:r/>
            <w:r>
              <w:rPr>
                <w:b/>
                <w:color w:val="FFFFFF"/>
                <w:sz w:val="17"/>
              </w:rPr>
              <w:t>Dimension (weight)</w:t>
            </w:r>
          </w:p>
        </w:tc>
        <w:tc>
          <w:tcPr>
            <w:tcW w:type="dxa" w:w="3628"/>
            <w:shd w:val="clear" w:fill="1F3864"/>
          </w:tcPr>
          <w:p>
            <w:pPr>
              <w:spacing w:after="0"/>
            </w:pPr>
            <w:r/>
            <w:r>
              <w:rPr>
                <w:b/>
                <w:color w:val="FFFFFF"/>
                <w:sz w:val="17"/>
              </w:rPr>
              <w:t>What it measures</w:t>
            </w:r>
          </w:p>
        </w:tc>
        <w:tc>
          <w:tcPr>
            <w:tcW w:type="dxa" w:w="3969"/>
            <w:shd w:val="clear" w:fill="1F3864"/>
          </w:tcPr>
          <w:p>
            <w:pPr>
              <w:spacing w:after="0"/>
            </w:pPr>
            <w:r/>
            <w:r>
              <w:rPr>
                <w:b/>
                <w:color w:val="FFFFFF"/>
                <w:sz w:val="17"/>
              </w:rPr>
              <w:t>Why this weight</w:t>
            </w:r>
          </w:p>
        </w:tc>
      </w:tr>
      <w:tr>
        <w:tc>
          <w:tcPr>
            <w:tcW w:type="dxa" w:w="2041"/>
          </w:tcPr>
          <w:p>
            <w:pPr>
              <w:spacing w:after="0"/>
            </w:pPr>
            <w:r/>
            <w:r>
              <w:rPr>
                <w:sz w:val="17"/>
              </w:rPr>
              <w:t>D1 Capacity scale (25%)</w:t>
            </w:r>
          </w:p>
        </w:tc>
        <w:tc>
          <w:tcPr>
            <w:tcW w:type="dxa" w:w="3628"/>
          </w:tcPr>
          <w:p>
            <w:pPr>
              <w:spacing w:after="0"/>
            </w:pPr>
            <w:r/>
            <w:r>
              <w:rPr>
                <w:sz w:val="17"/>
              </w:rPr>
              <w:t>Stated daily capacity, log-scaled inverse — fixed-cost absorption</w:t>
            </w:r>
          </w:p>
        </w:tc>
        <w:tc>
          <w:tcPr>
            <w:tcW w:type="dxa" w:w="3969"/>
          </w:tcPr>
          <w:p>
            <w:pPr>
              <w:spacing w:after="0"/>
            </w:pPr>
            <w:r/>
            <w:r>
              <w:rPr>
                <w:sz w:val="17"/>
              </w:rPr>
              <w:t>Primary structural lever; memo §2 flags the imbalance explicitly</w:t>
            </w:r>
          </w:p>
        </w:tc>
      </w:tr>
      <w:tr>
        <w:tc>
          <w:tcPr>
            <w:tcW w:type="dxa" w:w="2041"/>
            <w:shd w:val="clear" w:fill="F2F2F2"/>
          </w:tcPr>
          <w:p>
            <w:pPr>
              <w:spacing w:after="0"/>
            </w:pPr>
            <w:r/>
            <w:r>
              <w:rPr>
                <w:sz w:val="17"/>
              </w:rPr>
              <w:t>D2 Handling cost (20%)</w:t>
            </w:r>
          </w:p>
        </w:tc>
        <w:tc>
          <w:tcPr>
            <w:tcW w:type="dxa" w:w="3628"/>
            <w:shd w:val="clear" w:fill="F2F2F2"/>
          </w:tcPr>
          <w:p>
            <w:pPr>
              <w:spacing w:after="0"/>
            </w:pPr>
            <w:r/>
            <w:r>
              <w:rPr>
                <w:sz w:val="17"/>
              </w:rPr>
              <w:t>WhCosts $/unit vs network range ($0.37–$2.04)</w:t>
            </w:r>
          </w:p>
        </w:tc>
        <w:tc>
          <w:tcPr>
            <w:tcW w:type="dxa" w:w="3969"/>
            <w:shd w:val="clear" w:fill="F2F2F2"/>
          </w:tcPr>
          <w:p>
            <w:pPr>
              <w:spacing w:after="0"/>
            </w:pPr>
            <w:r/>
            <w:r>
              <w:rPr>
                <w:sz w:val="17"/>
              </w:rPr>
              <w:t>Direct, comparable measure of cost inefficiency</w:t>
            </w:r>
          </w:p>
        </w:tc>
      </w:tr>
      <w:tr>
        <w:tc>
          <w:tcPr>
            <w:tcW w:type="dxa" w:w="2041"/>
          </w:tcPr>
          <w:p>
            <w:pPr>
              <w:spacing w:after="0"/>
            </w:pPr>
            <w:r/>
            <w:r>
              <w:rPr>
                <w:sz w:val="17"/>
              </w:rPr>
              <w:t>D3 Absorbability (20%)</w:t>
            </w:r>
          </w:p>
        </w:tc>
        <w:tc>
          <w:tcPr>
            <w:tcW w:type="dxa" w:w="3628"/>
          </w:tcPr>
          <w:p>
            <w:pPr>
              <w:spacing w:after="0"/>
            </w:pPr>
            <w:r/>
            <w:r>
              <w:rPr>
                <w:sz w:val="17"/>
              </w:rPr>
              <w:t>Peer capacity share on the plant's own port(s)</w:t>
            </w:r>
          </w:p>
        </w:tc>
        <w:tc>
          <w:tcPr>
            <w:tcW w:type="dxa" w:w="3969"/>
          </w:tcPr>
          <w:p>
            <w:pPr>
              <w:spacing w:after="0"/>
            </w:pPr>
            <w:r/>
            <w:r>
              <w:rPr>
                <w:sz w:val="17"/>
              </w:rPr>
              <w:t>Topology constraint: only same-port peers can take the volume</w:t>
            </w:r>
          </w:p>
        </w:tc>
      </w:tr>
      <w:tr>
        <w:tc>
          <w:tcPr>
            <w:tcW w:type="dxa" w:w="2041"/>
            <w:shd w:val="clear" w:fill="F2F2F2"/>
          </w:tcPr>
          <w:p>
            <w:pPr>
              <w:spacing w:after="0"/>
            </w:pPr>
            <w:r/>
            <w:r>
              <w:rPr>
                <w:sz w:val="17"/>
              </w:rPr>
              <w:t>D4 Demand contribution (15%)</w:t>
            </w:r>
          </w:p>
        </w:tc>
        <w:tc>
          <w:tcPr>
            <w:tcW w:type="dxa" w:w="3628"/>
            <w:shd w:val="clear" w:fill="F2F2F2"/>
          </w:tcPr>
          <w:p>
            <w:pPr>
              <w:spacing w:after="0"/>
            </w:pPr>
            <w:r/>
            <w:r>
              <w:rPr>
                <w:sz w:val="17"/>
              </w:rPr>
              <w:t>Share of order-book units (92.7% of orders sit on PLANT03)</w:t>
            </w:r>
          </w:p>
        </w:tc>
        <w:tc>
          <w:tcPr>
            <w:tcW w:type="dxa" w:w="3969"/>
            <w:shd w:val="clear" w:fill="F2F2F2"/>
          </w:tcPr>
          <w:p>
            <w:pPr>
              <w:spacing w:after="0"/>
            </w:pPr>
            <w:r/>
            <w:r>
              <w:rPr>
                <w:sz w:val="17"/>
              </w:rPr>
              <w:t>Weak demand weakens the case for standalone operation; down-weighted for the 12-plant coverage gap</w:t>
            </w:r>
          </w:p>
        </w:tc>
      </w:tr>
      <w:tr>
        <w:tc>
          <w:tcPr>
            <w:tcW w:type="dxa" w:w="2041"/>
          </w:tcPr>
          <w:p>
            <w:pPr>
              <w:spacing w:after="0"/>
            </w:pPr>
            <w:r/>
            <w:r>
              <w:rPr>
                <w:sz w:val="17"/>
              </w:rPr>
              <w:t>D5 Service record (20%)</w:t>
            </w:r>
          </w:p>
        </w:tc>
        <w:tc>
          <w:tcPr>
            <w:tcW w:type="dxa" w:w="3628"/>
          </w:tcPr>
          <w:p>
            <w:pPr>
              <w:spacing w:after="0"/>
            </w:pPr>
            <w:r/>
            <w:r>
              <w:rPr>
                <w:sz w:val="17"/>
              </w:rPr>
              <w:t>Late-shipment rate, severity-weighted complaints, detractor share</w:t>
            </w:r>
          </w:p>
        </w:tc>
        <w:tc>
          <w:tcPr>
            <w:tcW w:type="dxa" w:w="3969"/>
          </w:tcPr>
          <w:p>
            <w:pPr>
              <w:spacing w:after="0"/>
            </w:pPr>
            <w:r/>
            <w:r>
              <w:rPr>
                <w:sz w:val="17"/>
              </w:rPr>
              <w:t>Chronic service failure is a structural symptom; neutral 50 where no data exists</w:t>
            </w:r>
          </w:p>
        </w:tc>
      </w:tr>
    </w:tbl>
    <w:p>
      <w:r>
        <w:rPr>
          <w:sz w:val="18"/>
        </w:rPr>
        <w:t>Tier bands: ≥65 Tier 1 (closure track), 55–65 Tier 2 (consolidation track), 45–55 watchlist, &lt;45 retain. PLANT18 (56.3) and PLANT10 (55.8) fall in Tier 2 but outside the Board's 3–5 cap and are carried as Phase-2 watchlist. Limitations: 12 of 19 plants have no shipment or customer records; the order book is a single operating day (26-May-2013); unit scales conflict across datasets (29.5M observed units vs 5,791 stated daily capacity, R-13).</w:t>
      </w:r>
    </w:p>
    <w:p>
      <w:pPr>
        <w:spacing w:before="160" w:after="60"/>
      </w:pPr>
      <w:r>
        <w:rPr>
          <w:b/>
          <w:color w:val="1F3864"/>
          <w:sz w:val="24"/>
        </w:rPr>
        <w:t>3. Consolidation Recommendation</w:t>
      </w:r>
    </w:p>
    <w:p>
      <w:r>
        <w:rPr>
          <w:sz w:val="20"/>
        </w:rPr>
        <w:t>Five plants emerge as candidates. Two carry measurable volume (PLANT08, PLANT09); three are near-dormant (PLANT19, PLANT15, PLANT06). All five score in Tier 1–2 and their volume, where it exists, is absorbable within their own port cluster, so no freight re-rating is required in Phase 1.</w:t>
      </w:r>
    </w:p>
    <w:tbl>
      <w:tblPr>
        <w:tblStyle w:val="TableGrid"/>
        <w:tblW w:type="auto" w:w="0"/>
        <w:jc w:val="center"/>
        <w:tblLayout w:type="fixed"/>
        <w:tblLook w:firstColumn="1" w:firstRow="1" w:lastColumn="0" w:lastRow="0" w:noHBand="0" w:noVBand="1" w:val="04A0"/>
      </w:tblPr>
      <w:tblGrid>
        <w:gridCol w:w="2606"/>
        <w:gridCol w:w="2606"/>
        <w:gridCol w:w="2606"/>
        <w:gridCol w:w="2606"/>
      </w:tblGrid>
      <w:tr>
        <w:tc>
          <w:tcPr>
            <w:tcW w:type="dxa" w:w="1531"/>
            <w:shd w:val="clear" w:fill="1F3864"/>
          </w:tcPr>
          <w:p>
            <w:pPr>
              <w:spacing w:after="0"/>
            </w:pPr>
            <w:r/>
            <w:r>
              <w:rPr>
                <w:b/>
                <w:color w:val="FFFFFF"/>
                <w:sz w:val="17"/>
              </w:rPr>
              <w:t>Plant (score)</w:t>
            </w:r>
          </w:p>
        </w:tc>
        <w:tc>
          <w:tcPr>
            <w:tcW w:type="dxa" w:w="2778"/>
            <w:shd w:val="clear" w:fill="1F3864"/>
          </w:tcPr>
          <w:p>
            <w:pPr>
              <w:spacing w:after="0"/>
            </w:pPr>
            <w:r/>
            <w:r>
              <w:rPr>
                <w:b/>
                <w:color w:val="FFFFFF"/>
                <w:sz w:val="17"/>
              </w:rPr>
              <w:t>Structural profile</w:t>
            </w:r>
          </w:p>
        </w:tc>
        <w:tc>
          <w:tcPr>
            <w:tcW w:type="dxa" w:w="2041"/>
            <w:shd w:val="clear" w:fill="1F3864"/>
          </w:tcPr>
          <w:p>
            <w:pPr>
              <w:spacing w:after="0"/>
            </w:pPr>
            <w:r/>
            <w:r>
              <w:rPr>
                <w:b/>
                <w:color w:val="FFFFFF"/>
                <w:sz w:val="17"/>
              </w:rPr>
              <w:t>Observed footprint</w:t>
            </w:r>
          </w:p>
        </w:tc>
        <w:tc>
          <w:tcPr>
            <w:tcW w:type="dxa" w:w="3288"/>
            <w:shd w:val="clear" w:fill="1F3864"/>
          </w:tcPr>
          <w:p>
            <w:pPr>
              <w:spacing w:after="0"/>
            </w:pPr>
            <w:r/>
            <w:r>
              <w:rPr>
                <w:b/>
                <w:color w:val="FFFFFF"/>
                <w:sz w:val="17"/>
              </w:rPr>
              <w:t>Key weaknesses</w:t>
            </w:r>
          </w:p>
        </w:tc>
      </w:tr>
      <w:tr>
        <w:tc>
          <w:tcPr>
            <w:tcW w:type="dxa" w:w="1531"/>
          </w:tcPr>
          <w:p>
            <w:pPr>
              <w:spacing w:after="0"/>
            </w:pPr>
            <w:r/>
            <w:r>
              <w:rPr>
                <w:sz w:val="17"/>
              </w:rPr>
              <w:t>PLANT19 (73.2)</w:t>
            </w:r>
          </w:p>
        </w:tc>
        <w:tc>
          <w:tcPr>
            <w:tcW w:type="dxa" w:w="2778"/>
          </w:tcPr>
          <w:p>
            <w:pPr>
              <w:spacing w:after="0"/>
            </w:pPr>
            <w:r/>
            <w:r>
              <w:rPr>
                <w:sz w:val="17"/>
              </w:rPr>
              <w:t>7 units/day stated capacity (0.12% of network); $0.64/unit; PORT04 shared with 6 peers</w:t>
            </w:r>
          </w:p>
        </w:tc>
        <w:tc>
          <w:tcPr>
            <w:tcW w:type="dxa" w:w="2041"/>
          </w:tcPr>
          <w:p>
            <w:pPr>
              <w:spacing w:after="0"/>
            </w:pPr>
            <w:r/>
            <w:r>
              <w:rPr>
                <w:sz w:val="17"/>
              </w:rPr>
              <w:t>Zero orders in the 9,215-order book</w:t>
            </w:r>
          </w:p>
        </w:tc>
        <w:tc>
          <w:tcPr>
            <w:tcW w:type="dxa" w:w="3288"/>
          </w:tcPr>
          <w:p>
            <w:pPr>
              <w:spacing w:after="0"/>
            </w:pPr>
            <w:r/>
            <w:r>
              <w:rPr>
                <w:sz w:val="17"/>
              </w:rPr>
              <w:t>No scale, no demand; viable only as a bookkeeping entity</w:t>
            </w:r>
          </w:p>
        </w:tc>
      </w:tr>
      <w:tr>
        <w:tc>
          <w:tcPr>
            <w:tcW w:type="dxa" w:w="1531"/>
            <w:shd w:val="clear" w:fill="F2F2F2"/>
          </w:tcPr>
          <w:p>
            <w:pPr>
              <w:spacing w:after="0"/>
            </w:pPr>
            <w:r/>
            <w:r>
              <w:rPr>
                <w:sz w:val="17"/>
              </w:rPr>
              <w:t>PLANT08 (70.2)</w:t>
            </w:r>
          </w:p>
        </w:tc>
        <w:tc>
          <w:tcPr>
            <w:tcW w:type="dxa" w:w="2778"/>
            <w:shd w:val="clear" w:fill="F2F2F2"/>
          </w:tcPr>
          <w:p>
            <w:pPr>
              <w:spacing w:after="0"/>
            </w:pPr>
            <w:r/>
            <w:r>
              <w:rPr>
                <w:sz w:val="17"/>
              </w:rPr>
              <w:t>14 units/day; $0.52/unit; PORT04 shared with 6 peers</w:t>
            </w:r>
          </w:p>
        </w:tc>
        <w:tc>
          <w:tcPr>
            <w:tcW w:type="dxa" w:w="2041"/>
            <w:shd w:val="clear" w:fill="F2F2F2"/>
          </w:tcPr>
          <w:p>
            <w:pPr>
              <w:spacing w:after="0"/>
            </w:pPr>
            <w:r/>
            <w:r>
              <w:rPr>
                <w:sz w:val="17"/>
              </w:rPr>
              <w:t>102 orders, 277,008 units, 5 customers</w:t>
            </w:r>
          </w:p>
        </w:tc>
        <w:tc>
          <w:tcPr>
            <w:tcW w:type="dxa" w:w="3288"/>
            <w:shd w:val="clear" w:fill="F2F2F2"/>
          </w:tcPr>
          <w:p>
            <w:pPr>
              <w:spacing w:after="0"/>
            </w:pPr>
            <w:r/>
            <w:r>
              <w:rPr>
                <w:sz w:val="17"/>
              </w:rPr>
              <w:t>Worst late-shipment rate (17.65%); 3 complaints incl. one High; 4 of 8 survey detractors</w:t>
            </w:r>
          </w:p>
        </w:tc>
      </w:tr>
      <w:tr>
        <w:tc>
          <w:tcPr>
            <w:tcW w:type="dxa" w:w="1531"/>
          </w:tcPr>
          <w:p>
            <w:pPr>
              <w:spacing w:after="0"/>
            </w:pPr>
            <w:r/>
            <w:r>
              <w:rPr>
                <w:sz w:val="17"/>
              </w:rPr>
              <w:t>PLANT09 (62.9)</w:t>
            </w:r>
          </w:p>
        </w:tc>
        <w:tc>
          <w:tcPr>
            <w:tcW w:type="dxa" w:w="2778"/>
          </w:tcPr>
          <w:p>
            <w:pPr>
              <w:spacing w:after="0"/>
            </w:pPr>
            <w:r/>
            <w:r>
              <w:rPr>
                <w:sz w:val="17"/>
              </w:rPr>
              <w:t>11 units/day; $0.47/unit; PORT04 shared with 6 peers</w:t>
            </w:r>
          </w:p>
        </w:tc>
        <w:tc>
          <w:tcPr>
            <w:tcW w:type="dxa" w:w="2041"/>
          </w:tcPr>
          <w:p>
            <w:pPr>
              <w:spacing w:after="0"/>
            </w:pPr>
            <w:r/>
            <w:r>
              <w:rPr>
                <w:sz w:val="17"/>
              </w:rPr>
              <w:t>12 orders, 223,830 units, 2 customers</w:t>
            </w:r>
          </w:p>
        </w:tc>
        <w:tc>
          <w:tcPr>
            <w:tcW w:type="dxa" w:w="3288"/>
          </w:tcPr>
          <w:p>
            <w:pPr>
              <w:spacing w:after="0"/>
            </w:pPr>
            <w:r/>
            <w:r>
              <w:rPr>
                <w:sz w:val="17"/>
              </w:rPr>
              <w:t>Worst satisfaction (2.50/5); 3 complaints incl. one open High; 91.7% single-customer concentration</w:t>
            </w:r>
          </w:p>
        </w:tc>
      </w:tr>
      <w:tr>
        <w:tc>
          <w:tcPr>
            <w:tcW w:type="dxa" w:w="1531"/>
            <w:shd w:val="clear" w:fill="F2F2F2"/>
          </w:tcPr>
          <w:p>
            <w:pPr>
              <w:spacing w:after="0"/>
            </w:pPr>
            <w:r/>
            <w:r>
              <w:rPr>
                <w:sz w:val="17"/>
              </w:rPr>
              <w:t>PLANT15 (60.3)</w:t>
            </w:r>
          </w:p>
        </w:tc>
        <w:tc>
          <w:tcPr>
            <w:tcW w:type="dxa" w:w="2778"/>
            <w:shd w:val="clear" w:fill="F2F2F2"/>
          </w:tcPr>
          <w:p>
            <w:pPr>
              <w:spacing w:after="0"/>
            </w:pPr>
            <w:r/>
            <w:r>
              <w:rPr>
                <w:sz w:val="17"/>
              </w:rPr>
              <w:t>11 units/day; $1.42/unit (2.6× network median); sole plant on PORT08</w:t>
            </w:r>
          </w:p>
        </w:tc>
        <w:tc>
          <w:tcPr>
            <w:tcW w:type="dxa" w:w="2041"/>
            <w:shd w:val="clear" w:fill="F2F2F2"/>
          </w:tcPr>
          <w:p>
            <w:pPr>
              <w:spacing w:after="0"/>
            </w:pPr>
            <w:r/>
            <w:r>
              <w:rPr>
                <w:sz w:val="17"/>
              </w:rPr>
              <w:t>Zero orders</w:t>
            </w:r>
          </w:p>
        </w:tc>
        <w:tc>
          <w:tcPr>
            <w:tcW w:type="dxa" w:w="3288"/>
            <w:shd w:val="clear" w:fill="F2F2F2"/>
          </w:tcPr>
          <w:p>
            <w:pPr>
              <w:spacing w:after="0"/>
            </w:pPr>
            <w:r/>
            <w:r>
              <w:rPr>
                <w:sz w:val="17"/>
              </w:rPr>
              <w:t>Highest-capacity-per-demand mismatch; uncompetitive unit cost; port-unique</w:t>
            </w:r>
          </w:p>
        </w:tc>
      </w:tr>
      <w:tr>
        <w:tc>
          <w:tcPr>
            <w:tcW w:type="dxa" w:w="1531"/>
          </w:tcPr>
          <w:p>
            <w:pPr>
              <w:spacing w:after="0"/>
            </w:pPr>
            <w:r/>
            <w:r>
              <w:rPr>
                <w:sz w:val="17"/>
              </w:rPr>
              <w:t>PLANT06 (60.3)</w:t>
            </w:r>
          </w:p>
        </w:tc>
        <w:tc>
          <w:tcPr>
            <w:tcW w:type="dxa" w:w="2778"/>
          </w:tcPr>
          <w:p>
            <w:pPr>
              <w:spacing w:after="0"/>
            </w:pPr>
            <w:r/>
            <w:r>
              <w:rPr>
                <w:sz w:val="17"/>
              </w:rPr>
              <w:t>49 units/day; $0.55/unit; shares PORT06 with PLANT05 (385 units/day, $0.49/unit)</w:t>
            </w:r>
          </w:p>
        </w:tc>
        <w:tc>
          <w:tcPr>
            <w:tcW w:type="dxa" w:w="2041"/>
          </w:tcPr>
          <w:p>
            <w:pPr>
              <w:spacing w:after="0"/>
            </w:pPr>
            <w:r/>
            <w:r>
              <w:rPr>
                <w:sz w:val="17"/>
              </w:rPr>
              <w:t>Zero orders</w:t>
            </w:r>
          </w:p>
        </w:tc>
        <w:tc>
          <w:tcPr>
            <w:tcW w:type="dxa" w:w="3288"/>
          </w:tcPr>
          <w:p>
            <w:pPr>
              <w:spacing w:after="0"/>
            </w:pPr>
            <w:r/>
            <w:r>
              <w:rPr>
                <w:sz w:val="17"/>
              </w:rPr>
              <w:t>Redundant with a larger, cheaper same-port peer</w:t>
            </w:r>
          </w:p>
        </w:tc>
      </w:tr>
    </w:tbl>
    <w:p>
      <w:pPr>
        <w:spacing w:before="100" w:after="40"/>
      </w:pPr>
      <w:r>
        <w:rPr>
          <w:b/>
          <w:color w:val="1F3864"/>
          <w:sz w:val="21"/>
        </w:rPr>
        <w:t>Redistribution plans and net cost impact (per order-book period)</w:t>
      </w:r>
    </w:p>
    <w:tbl>
      <w:tblPr>
        <w:tblStyle w:val="TableGrid"/>
        <w:tblW w:type="auto" w:w="0"/>
        <w:jc w:val="center"/>
        <w:tblLayout w:type="fixed"/>
        <w:tblLook w:firstColumn="1" w:firstRow="1" w:lastColumn="0" w:lastRow="0" w:noHBand="0" w:noVBand="1" w:val="04A0"/>
      </w:tblPr>
      <w:tblGrid>
        <w:gridCol w:w="1738"/>
        <w:gridCol w:w="1738"/>
        <w:gridCol w:w="1738"/>
        <w:gridCol w:w="1738"/>
        <w:gridCol w:w="1738"/>
        <w:gridCol w:w="1738"/>
      </w:tblGrid>
      <w:tr>
        <w:tc>
          <w:tcPr>
            <w:tcW w:type="dxa" w:w="1134"/>
            <w:shd w:val="clear" w:fill="1F3864"/>
          </w:tcPr>
          <w:p>
            <w:pPr>
              <w:spacing w:after="0"/>
            </w:pPr>
            <w:r/>
            <w:r>
              <w:rPr>
                <w:b/>
                <w:color w:val="FFFFFF"/>
                <w:sz w:val="17"/>
              </w:rPr>
              <w:t>Candidate</w:t>
            </w:r>
          </w:p>
        </w:tc>
        <w:tc>
          <w:tcPr>
            <w:tcW w:type="dxa" w:w="4082"/>
            <w:shd w:val="clear" w:fill="1F3864"/>
          </w:tcPr>
          <w:p>
            <w:pPr>
              <w:spacing w:after="0"/>
            </w:pPr>
            <w:r/>
            <w:r>
              <w:rPr>
                <w:b/>
                <w:color w:val="FFFFFF"/>
                <w:sz w:val="17"/>
              </w:rPr>
              <w:t>Redistribution plan (topology-compliant)</w:t>
            </w:r>
          </w:p>
        </w:tc>
        <w:tc>
          <w:tcPr>
            <w:tcW w:type="dxa" w:w="1191"/>
            <w:shd w:val="clear" w:fill="1F3864"/>
          </w:tcPr>
          <w:p>
            <w:pPr>
              <w:spacing w:after="0"/>
            </w:pPr>
            <w:r/>
            <w:r>
              <w:rPr>
                <w:b/>
                <w:color w:val="FFFFFF"/>
                <w:sz w:val="17"/>
              </w:rPr>
              <w:t>Δ Warehousing</w:t>
            </w:r>
          </w:p>
        </w:tc>
        <w:tc>
          <w:tcPr>
            <w:tcW w:type="dxa" w:w="1134"/>
            <w:shd w:val="clear" w:fill="1F3864"/>
          </w:tcPr>
          <w:p>
            <w:pPr>
              <w:spacing w:after="0"/>
            </w:pPr>
            <w:r/>
            <w:r>
              <w:rPr>
                <w:b/>
                <w:color w:val="FFFFFF"/>
                <w:sz w:val="17"/>
              </w:rPr>
              <w:t>Δ Freight</w:t>
            </w:r>
          </w:p>
        </w:tc>
        <w:tc>
          <w:tcPr>
            <w:tcW w:type="dxa" w:w="1077"/>
            <w:shd w:val="clear" w:fill="1F3864"/>
          </w:tcPr>
          <w:p>
            <w:pPr>
              <w:spacing w:after="0"/>
            </w:pPr>
            <w:r/>
            <w:r>
              <w:rPr>
                <w:b/>
                <w:color w:val="FFFFFF"/>
                <w:sz w:val="17"/>
              </w:rPr>
              <w:t>One-off transition</w:t>
            </w:r>
          </w:p>
        </w:tc>
        <w:tc>
          <w:tcPr>
            <w:tcW w:type="dxa" w:w="2494"/>
            <w:shd w:val="clear" w:fill="1F3864"/>
          </w:tcPr>
          <w:p>
            <w:pPr>
              <w:spacing w:after="0"/>
            </w:pPr>
            <w:r/>
            <w:r>
              <w:rPr>
                <w:b/>
                <w:color w:val="FFFFFF"/>
                <w:sz w:val="17"/>
              </w:rPr>
              <w:t>Service effect</w:t>
            </w:r>
          </w:p>
        </w:tc>
      </w:tr>
      <w:tr>
        <w:tc>
          <w:tcPr>
            <w:tcW w:type="dxa" w:w="1134"/>
          </w:tcPr>
          <w:p>
            <w:pPr>
              <w:spacing w:after="0"/>
            </w:pPr>
            <w:r/>
            <w:r>
              <w:rPr>
                <w:sz w:val="17"/>
              </w:rPr>
              <w:t>PLANT19</w:t>
            </w:r>
          </w:p>
        </w:tc>
        <w:tc>
          <w:tcPr>
            <w:tcW w:type="dxa" w:w="4082"/>
          </w:tcPr>
          <w:p>
            <w:pPr>
              <w:spacing w:after="0"/>
            </w:pPr>
            <w:r/>
            <w:r>
              <w:rPr>
                <w:sz w:val="17"/>
              </w:rPr>
              <w:t>Close; no volume to move. PORT04 role covered by 6 peers (2,069 units/day combined)</w:t>
            </w:r>
          </w:p>
        </w:tc>
        <w:tc>
          <w:tcPr>
            <w:tcW w:type="dxa" w:w="1191"/>
          </w:tcPr>
          <w:p>
            <w:pPr>
              <w:spacing w:after="0"/>
            </w:pPr>
            <w:r/>
            <w:r>
              <w:rPr>
                <w:sz w:val="17"/>
              </w:rPr>
              <w:t>$0</w:t>
            </w:r>
          </w:p>
        </w:tc>
        <w:tc>
          <w:tcPr>
            <w:tcW w:type="dxa" w:w="1134"/>
          </w:tcPr>
          <w:p>
            <w:pPr>
              <w:spacing w:after="0"/>
            </w:pPr>
            <w:r/>
            <w:r>
              <w:rPr>
                <w:sz w:val="17"/>
              </w:rPr>
              <w:t>$0</w:t>
            </w:r>
          </w:p>
        </w:tc>
        <w:tc>
          <w:tcPr>
            <w:tcW w:type="dxa" w:w="1077"/>
          </w:tcPr>
          <w:p>
            <w:pPr>
              <w:spacing w:after="0"/>
            </w:pPr>
            <w:r/>
            <w:r>
              <w:rPr>
                <w:sz w:val="17"/>
              </w:rPr>
              <w:t>$175,000</w:t>
            </w:r>
          </w:p>
        </w:tc>
        <w:tc>
          <w:tcPr>
            <w:tcW w:type="dxa" w:w="2494"/>
          </w:tcPr>
          <w:p>
            <w:pPr>
              <w:spacing w:after="0"/>
            </w:pPr>
            <w:r/>
            <w:r>
              <w:rPr>
                <w:sz w:val="17"/>
              </w:rPr>
              <w:t>None — no customers</w:t>
            </w:r>
          </w:p>
        </w:tc>
      </w:tr>
      <w:tr>
        <w:tc>
          <w:tcPr>
            <w:tcW w:type="dxa" w:w="1134"/>
            <w:shd w:val="clear" w:fill="F2F2F2"/>
          </w:tcPr>
          <w:p>
            <w:pPr>
              <w:spacing w:after="0"/>
            </w:pPr>
            <w:r/>
            <w:r>
              <w:rPr>
                <w:sz w:val="17"/>
              </w:rPr>
              <w:t>PLANT08</w:t>
            </w:r>
          </w:p>
        </w:tc>
        <w:tc>
          <w:tcPr>
            <w:tcW w:type="dxa" w:w="4082"/>
            <w:shd w:val="clear" w:fill="F2F2F2"/>
          </w:tcPr>
          <w:p>
            <w:pPr>
              <w:spacing w:after="0"/>
            </w:pPr>
            <w:r/>
            <w:r>
              <w:rPr>
                <w:sz w:val="17"/>
              </w:rPr>
              <w:t>102 orders / 277,008 units to PORT04 peers by capacity share: PLANT03 49.6%, PLANT13 24.0%, PLANT11 16.2%, PLANT12 10.2% (order counts ≈ 51/24/17/10)</w:t>
            </w:r>
          </w:p>
        </w:tc>
        <w:tc>
          <w:tcPr>
            <w:tcW w:type="dxa" w:w="1191"/>
            <w:shd w:val="clear" w:fill="F2F2F2"/>
          </w:tcPr>
          <w:p>
            <w:pPr>
              <w:spacing w:after="0"/>
            </w:pPr>
            <w:r/>
            <w:r>
              <w:rPr>
                <w:sz w:val="17"/>
              </w:rPr>
              <w:t>+$4,281</w:t>
            </w:r>
          </w:p>
        </w:tc>
        <w:tc>
          <w:tcPr>
            <w:tcW w:type="dxa" w:w="1134"/>
            <w:shd w:val="clear" w:fill="F2F2F2"/>
          </w:tcPr>
          <w:p>
            <w:pPr>
              <w:spacing w:after="0"/>
            </w:pPr>
            <w:r/>
            <w:r>
              <w:rPr>
                <w:sz w:val="17"/>
              </w:rPr>
              <w:t>$0 (same port)</w:t>
            </w:r>
          </w:p>
        </w:tc>
        <w:tc>
          <w:tcPr>
            <w:tcW w:type="dxa" w:w="1077"/>
            <w:shd w:val="clear" w:fill="F2F2F2"/>
          </w:tcPr>
          <w:p>
            <w:pPr>
              <w:spacing w:after="0"/>
            </w:pPr>
            <w:r/>
            <w:r>
              <w:rPr>
                <w:sz w:val="17"/>
              </w:rPr>
              <w:t>$175,000</w:t>
            </w:r>
          </w:p>
        </w:tc>
        <w:tc>
          <w:tcPr>
            <w:tcW w:type="dxa" w:w="2494"/>
            <w:shd w:val="clear" w:fill="F2F2F2"/>
          </w:tcPr>
          <w:p>
            <w:pPr>
              <w:spacing w:after="0"/>
            </w:pPr>
            <w:r/>
            <w:r>
              <w:rPr>
                <w:sz w:val="17"/>
              </w:rPr>
              <w:t>Late orders 18 → ~1 (17.65% → ~1.0%)</w:t>
            </w:r>
          </w:p>
        </w:tc>
      </w:tr>
      <w:tr>
        <w:tc>
          <w:tcPr>
            <w:tcW w:type="dxa" w:w="1134"/>
          </w:tcPr>
          <w:p>
            <w:pPr>
              <w:spacing w:after="0"/>
            </w:pPr>
            <w:r/>
            <w:r>
              <w:rPr>
                <w:sz w:val="17"/>
              </w:rPr>
              <w:t>PLANT09</w:t>
            </w:r>
          </w:p>
        </w:tc>
        <w:tc>
          <w:tcPr>
            <w:tcW w:type="dxa" w:w="4082"/>
          </w:tcPr>
          <w:p>
            <w:pPr>
              <w:spacing w:after="0"/>
            </w:pPr>
            <w:r/>
            <w:r>
              <w:rPr>
                <w:sz w:val="17"/>
              </w:rPr>
              <w:t>12 orders / 223,830 units to the same PORT04 mix (≈6/2/2/2 orders)</w:t>
            </w:r>
          </w:p>
        </w:tc>
        <w:tc>
          <w:tcPr>
            <w:tcW w:type="dxa" w:w="1191"/>
          </w:tcPr>
          <w:p>
            <w:pPr>
              <w:spacing w:after="0"/>
            </w:pPr>
            <w:r/>
            <w:r>
              <w:rPr>
                <w:sz w:val="17"/>
              </w:rPr>
              <w:t>+$16,394</w:t>
            </w:r>
          </w:p>
        </w:tc>
        <w:tc>
          <w:tcPr>
            <w:tcW w:type="dxa" w:w="1134"/>
          </w:tcPr>
          <w:p>
            <w:pPr>
              <w:spacing w:after="0"/>
            </w:pPr>
            <w:r/>
            <w:r>
              <w:rPr>
                <w:sz w:val="17"/>
              </w:rPr>
              <w:t>$0 (same port)</w:t>
            </w:r>
          </w:p>
        </w:tc>
        <w:tc>
          <w:tcPr>
            <w:tcW w:type="dxa" w:w="1077"/>
          </w:tcPr>
          <w:p>
            <w:pPr>
              <w:spacing w:after="0"/>
            </w:pPr>
            <w:r/>
            <w:r>
              <w:rPr>
                <w:sz w:val="17"/>
              </w:rPr>
              <w:t>$175,000</w:t>
            </w:r>
          </w:p>
        </w:tc>
        <w:tc>
          <w:tcPr>
            <w:tcW w:type="dxa" w:w="2494"/>
          </w:tcPr>
          <w:p>
            <w:pPr>
              <w:spacing w:after="0"/>
            </w:pPr>
            <w:r/>
            <w:r>
              <w:rPr>
                <w:sz w:val="17"/>
              </w:rPr>
              <w:t>Removes network-worst CSAT (2.50) and 3 complaints from the customer journey</w:t>
            </w:r>
          </w:p>
        </w:tc>
      </w:tr>
      <w:tr>
        <w:tc>
          <w:tcPr>
            <w:tcW w:type="dxa" w:w="1134"/>
            <w:shd w:val="clear" w:fill="F2F2F2"/>
          </w:tcPr>
          <w:p>
            <w:pPr>
              <w:spacing w:after="0"/>
            </w:pPr>
            <w:r/>
            <w:r>
              <w:rPr>
                <w:sz w:val="17"/>
              </w:rPr>
              <w:t>PLANT15</w:t>
            </w:r>
          </w:p>
        </w:tc>
        <w:tc>
          <w:tcPr>
            <w:tcW w:type="dxa" w:w="4082"/>
            <w:shd w:val="clear" w:fill="F2F2F2"/>
          </w:tcPr>
          <w:p>
            <w:pPr>
              <w:spacing w:after="0"/>
            </w:pPr>
            <w:r/>
            <w:r>
              <w:rPr>
                <w:sz w:val="17"/>
              </w:rPr>
              <w:t>Administrative consolidation; PORT08 origination role transferred (rate card prices both PORT08→PORT09 and alternative lanes)</w:t>
            </w:r>
          </w:p>
        </w:tc>
        <w:tc>
          <w:tcPr>
            <w:tcW w:type="dxa" w:w="1191"/>
            <w:shd w:val="clear" w:fill="F2F2F2"/>
          </w:tcPr>
          <w:p>
            <w:pPr>
              <w:spacing w:after="0"/>
            </w:pPr>
            <w:r/>
            <w:r>
              <w:rPr>
                <w:sz w:val="17"/>
              </w:rPr>
              <w:t>$0</w:t>
            </w:r>
          </w:p>
        </w:tc>
        <w:tc>
          <w:tcPr>
            <w:tcW w:type="dxa" w:w="1134"/>
            <w:shd w:val="clear" w:fill="F2F2F2"/>
          </w:tcPr>
          <w:p>
            <w:pPr>
              <w:spacing w:after="0"/>
            </w:pPr>
            <w:r/>
            <w:r>
              <w:rPr>
                <w:sz w:val="17"/>
              </w:rPr>
              <w:t>$0</w:t>
            </w:r>
          </w:p>
        </w:tc>
        <w:tc>
          <w:tcPr>
            <w:tcW w:type="dxa" w:w="1077"/>
            <w:shd w:val="clear" w:fill="F2F2F2"/>
          </w:tcPr>
          <w:p>
            <w:pPr>
              <w:spacing w:after="0"/>
            </w:pPr>
            <w:r/>
            <w:r>
              <w:rPr>
                <w:sz w:val="17"/>
              </w:rPr>
              <w:t>$175,000</w:t>
            </w:r>
          </w:p>
        </w:tc>
        <w:tc>
          <w:tcPr>
            <w:tcW w:type="dxa" w:w="2494"/>
            <w:shd w:val="clear" w:fill="F2F2F2"/>
          </w:tcPr>
          <w:p>
            <w:pPr>
              <w:spacing w:after="0"/>
            </w:pPr>
            <w:r/>
            <w:r>
              <w:rPr>
                <w:sz w:val="17"/>
              </w:rPr>
              <w:t>None — no customers</w:t>
            </w:r>
          </w:p>
        </w:tc>
      </w:tr>
      <w:tr>
        <w:tc>
          <w:tcPr>
            <w:tcW w:type="dxa" w:w="1134"/>
          </w:tcPr>
          <w:p>
            <w:pPr>
              <w:spacing w:after="0"/>
            </w:pPr>
            <w:r/>
            <w:r>
              <w:rPr>
                <w:sz w:val="17"/>
              </w:rPr>
              <w:t>PLANT06</w:t>
            </w:r>
          </w:p>
        </w:tc>
        <w:tc>
          <w:tcPr>
            <w:tcW w:type="dxa" w:w="4082"/>
          </w:tcPr>
          <w:p>
            <w:pPr>
              <w:spacing w:after="0"/>
            </w:pPr>
            <w:r/>
            <w:r>
              <w:rPr>
                <w:sz w:val="17"/>
              </w:rPr>
              <w:t>Fold into PLANT05 on shared PORT06; cheaper handling ($0.488 vs $0.554/unit) and 385 units/day headroom</w:t>
            </w:r>
          </w:p>
        </w:tc>
        <w:tc>
          <w:tcPr>
            <w:tcW w:type="dxa" w:w="1191"/>
          </w:tcPr>
          <w:p>
            <w:pPr>
              <w:spacing w:after="0"/>
            </w:pPr>
            <w:r/>
            <w:r>
              <w:rPr>
                <w:sz w:val="17"/>
              </w:rPr>
              <w:t>$0 (no volume; unit-cost advantage locked in for future volume)</w:t>
            </w:r>
          </w:p>
        </w:tc>
        <w:tc>
          <w:tcPr>
            <w:tcW w:type="dxa" w:w="1134"/>
          </w:tcPr>
          <w:p>
            <w:pPr>
              <w:spacing w:after="0"/>
            </w:pPr>
            <w:r/>
            <w:r>
              <w:rPr>
                <w:sz w:val="17"/>
              </w:rPr>
              <w:t>$0</w:t>
            </w:r>
          </w:p>
        </w:tc>
        <w:tc>
          <w:tcPr>
            <w:tcW w:type="dxa" w:w="1077"/>
          </w:tcPr>
          <w:p>
            <w:pPr>
              <w:spacing w:after="0"/>
            </w:pPr>
            <w:r/>
            <w:r>
              <w:rPr>
                <w:sz w:val="17"/>
              </w:rPr>
              <w:t>$175,000</w:t>
            </w:r>
          </w:p>
        </w:tc>
        <w:tc>
          <w:tcPr>
            <w:tcW w:type="dxa" w:w="2494"/>
          </w:tcPr>
          <w:p>
            <w:pPr>
              <w:spacing w:after="0"/>
            </w:pPr>
            <w:r/>
            <w:r>
              <w:rPr>
                <w:sz w:val="17"/>
              </w:rPr>
              <w:t>None — no customers</w:t>
            </w:r>
          </w:p>
        </w:tc>
      </w:tr>
    </w:tbl>
    <w:p>
      <w:r>
        <w:rPr>
          <w:sz w:val="18"/>
        </w:rPr>
        <w:t>On variable costs alone the programme adds ≈$20,675 per period (both volume carriers sit on cheaper-than-peer unit rates) plus $875,000 one-off across five plants. The business case therefore rests on two quantified-elsewhere levers: service recovery (late orders fall from 18 to ~1 for the affected lanes) and fixed-cost release that the pinned WhCosts extract cannot price (R-08). Sensitivity S-1 in the workbook shows the mechanic that would make a bigger case: migrating PLANT16 from its unique PORT09 position to the PORT04 cluster would cut variable cost by ≈$341,137 per period ($338,653 warehousing + $2,484 freight) — PLANT16 is retained in Phase 1 only because of its port-unique role, clean service record and 0–1-day transit commitments; it becomes the lead Phase-2 candidate pending the fixed-cost audit.</w:t>
      </w:r>
    </w:p>
    <w:p>
      <w:pPr>
        <w:spacing w:before="160" w:after="60"/>
      </w:pPr>
      <w:r>
        <w:rPr>
          <w:b/>
          <w:color w:val="1F3864"/>
          <w:sz w:val="24"/>
        </w:rPr>
        <w:t>4. Implementation Risk Assessment</w:t>
      </w:r>
    </w:p>
    <w:p>
      <w:pPr>
        <w:pStyle w:val="ListBullet"/>
        <w:spacing w:after="40"/>
      </w:pPr>
      <w:r>
        <w:rPr>
          <w:sz w:val="20"/>
        </w:rPr>
        <w:t>Customer concentration. PLANT08's top customer V555555555_14 holds 77 of 102 orders (75.5%) and ships via two plants; PLANT09's V55555555_7 holds 11 of 12 orders (91.7%). Migrations for these accounts need white-glove sequencing, not big-bang cutovers.</w:t>
      </w:r>
    </w:p>
    <w:p>
      <w:pPr>
        <w:pStyle w:val="ListBullet"/>
        <w:spacing w:after="40"/>
      </w:pPr>
      <w:r>
        <w:rPr>
          <w:sz w:val="20"/>
        </w:rPr>
        <w:t>Detractor evidence. All four PLANT09 detractors cite capacity/lateness ("fulfillment times have doubled", CUST-025; "two out of three orders this quarter were late — unacceptable for DTD", CUST-021). At PLANT08, CUST-026 reports "orders sitting for days before being processed". Consolidation directly addresses their stated complaints; failure to fix service during migration would convert detractors into losses.</w:t>
      </w:r>
    </w:p>
    <w:p>
      <w:pPr>
        <w:pStyle w:val="ListBullet"/>
        <w:spacing w:after="40"/>
      </w:pPr>
      <w:r>
        <w:rPr>
          <w:sz w:val="20"/>
        </w:rPr>
        <w:t>Open complaints on candidate plants. 6 of 18 Q4 complaints (33%) sit on candidates, including the only two High-severity cases (C-008 PLANT08, C-014 PLANT09) and two 22-day-old open cases (C-002, C-009). Absorbers are not clean either: PLANT12 and PLANT13 carry open escalations (C-016, C-017) that should be closed before receiving volume.</w:t>
      </w:r>
    </w:p>
    <w:p>
      <w:pPr>
        <w:pStyle w:val="ListBullet"/>
        <w:spacing w:after="40"/>
      </w:pPr>
      <w:r>
        <w:rPr>
          <w:sz w:val="20"/>
        </w:rPr>
        <w:t>Network concentration. PLANT03 already carries 92.7% of orders and 96.9% of units. The capacity-share allocation caps PLANT03 at 49.6% of redistributed volume; the Board should treat any further PLANT03 dependence as a standing risk metric.</w:t>
      </w:r>
    </w:p>
    <w:p>
      <w:pPr>
        <w:pStyle w:val="ListBullet"/>
        <w:spacing w:after="40"/>
      </w:pPr>
      <w:r>
        <w:rPr>
          <w:sz w:val="20"/>
        </w:rPr>
        <w:t>Customer contagion. 16 of 46 order-book customers and 12 survey respondents span multiple plants (e.g., CUST-009 appears at PLANT03, PLANT08 and PLANT09), so service failures during migration propagate across the network rather than staying local.</w:t>
      </w:r>
    </w:p>
    <w:p>
      <w:pPr>
        <w:pStyle w:val="ListBullet"/>
        <w:spacing w:after="40"/>
      </w:pPr>
      <w:r>
        <w:rPr>
          <w:sz w:val="20"/>
        </w:rPr>
        <w:t>Data risks. Single-day order book (R-14), unit-scale inconsistency (R-13), unpriceable CRF volume (854 orders, carrier V44_3 absent from the rate card, R-15) and missing fixed costs (R-08) bound the precision of these estimates; none of them flips a Phase-1 recommendation, but all gate Phase-2.</w:t>
      </w:r>
    </w:p>
    <w:p>
      <w:pPr>
        <w:spacing w:before="160" w:after="60"/>
      </w:pPr>
      <w:r>
        <w:rPr>
          <w:b/>
          <w:color w:val="1F3864"/>
          <w:sz w:val="24"/>
        </w:rPr>
        <w:t>5. Go/No-Go Matrix</w:t>
      </w:r>
    </w:p>
    <w:tbl>
      <w:tblPr>
        <w:tblStyle w:val="TableGrid"/>
        <w:tblW w:type="auto" w:w="0"/>
        <w:jc w:val="center"/>
        <w:tblLayout w:type="fixed"/>
        <w:tblLook w:firstColumn="1" w:firstRow="1" w:lastColumn="0" w:lastRow="0" w:noHBand="0" w:noVBand="1" w:val="04A0"/>
      </w:tblPr>
      <w:tblGrid>
        <w:gridCol w:w="2606"/>
        <w:gridCol w:w="2606"/>
        <w:gridCol w:w="2606"/>
        <w:gridCol w:w="2606"/>
      </w:tblGrid>
      <w:tr>
        <w:tc>
          <w:tcPr>
            <w:tcW w:type="dxa" w:w="1871"/>
            <w:shd w:val="clear" w:fill="1F3864"/>
          </w:tcPr>
          <w:p>
            <w:pPr>
              <w:spacing w:after="0"/>
            </w:pPr>
            <w:r/>
            <w:r>
              <w:rPr>
                <w:b/>
                <w:color w:val="FFFFFF"/>
                <w:sz w:val="17"/>
              </w:rPr>
              <w:t>Plant (score)</w:t>
            </w:r>
          </w:p>
        </w:tc>
        <w:tc>
          <w:tcPr>
            <w:tcW w:type="dxa" w:w="1474"/>
            <w:shd w:val="clear" w:fill="1F3864"/>
          </w:tcPr>
          <w:p>
            <w:pPr>
              <w:spacing w:after="0"/>
            </w:pPr>
            <w:r/>
            <w:r>
              <w:rPr>
                <w:b/>
                <w:color w:val="FFFFFF"/>
                <w:sz w:val="17"/>
              </w:rPr>
              <w:t>Action</w:t>
            </w:r>
          </w:p>
        </w:tc>
        <w:tc>
          <w:tcPr>
            <w:tcW w:type="dxa" w:w="3685"/>
            <w:shd w:val="clear" w:fill="1F3864"/>
          </w:tcPr>
          <w:p>
            <w:pPr>
              <w:spacing w:after="0"/>
            </w:pPr>
            <w:r/>
            <w:r>
              <w:rPr>
                <w:b/>
                <w:color w:val="FFFFFF"/>
                <w:sz w:val="17"/>
              </w:rPr>
              <w:t>Rationale</w:t>
            </w:r>
          </w:p>
        </w:tc>
        <w:tc>
          <w:tcPr>
            <w:tcW w:type="dxa" w:w="2608"/>
            <w:shd w:val="clear" w:fill="1F3864"/>
          </w:tcPr>
          <w:p>
            <w:pPr>
              <w:spacing w:after="0"/>
            </w:pPr>
            <w:r/>
            <w:r>
              <w:rPr>
                <w:b/>
                <w:color w:val="FFFFFF"/>
                <w:sz w:val="17"/>
              </w:rPr>
              <w:t>Decision gate before execution</w:t>
            </w:r>
          </w:p>
        </w:tc>
      </w:tr>
      <w:tr>
        <w:tc>
          <w:tcPr>
            <w:tcW w:type="dxa" w:w="1871"/>
          </w:tcPr>
          <w:p>
            <w:pPr>
              <w:spacing w:after="0"/>
            </w:pPr>
            <w:r/>
            <w:r>
              <w:rPr>
                <w:sz w:val="17"/>
              </w:rPr>
              <w:t>PLANT19 (73.2)</w:t>
            </w:r>
          </w:p>
        </w:tc>
        <w:tc>
          <w:tcPr>
            <w:tcW w:type="dxa" w:w="1474"/>
          </w:tcPr>
          <w:p>
            <w:pPr>
              <w:spacing w:after="0"/>
            </w:pPr>
            <w:r/>
            <w:r>
              <w:rPr>
                <w:sz w:val="17"/>
              </w:rPr>
              <w:t>CLOSE</w:t>
            </w:r>
          </w:p>
        </w:tc>
        <w:tc>
          <w:tcPr>
            <w:tcW w:type="dxa" w:w="3685"/>
          </w:tcPr>
          <w:p>
            <w:pPr>
              <w:spacing w:after="0"/>
            </w:pPr>
            <w:r/>
            <w:r>
              <w:rPr>
                <w:sz w:val="17"/>
              </w:rPr>
              <w:t>Dormant (0 orders); 7 units/day capacity; PORT04 access fully preserved by 6 peers; zero customer exposure</w:t>
            </w:r>
          </w:p>
        </w:tc>
        <w:tc>
          <w:tcPr>
            <w:tcW w:type="dxa" w:w="2608"/>
          </w:tcPr>
          <w:p>
            <w:pPr>
              <w:spacing w:after="0"/>
            </w:pPr>
            <w:r/>
            <w:r>
              <w:rPr>
                <w:sz w:val="17"/>
              </w:rPr>
              <w:t>Fixed-cost audit confirms positive release; ERP plant code retired with order-history remapping</w:t>
            </w:r>
          </w:p>
        </w:tc>
      </w:tr>
      <w:tr>
        <w:tc>
          <w:tcPr>
            <w:tcW w:type="dxa" w:w="1871"/>
            <w:shd w:val="clear" w:fill="F2F2F2"/>
          </w:tcPr>
          <w:p>
            <w:pPr>
              <w:spacing w:after="0"/>
            </w:pPr>
            <w:r/>
            <w:r>
              <w:rPr>
                <w:sz w:val="17"/>
              </w:rPr>
              <w:t>PLANT08 (70.2)</w:t>
            </w:r>
          </w:p>
        </w:tc>
        <w:tc>
          <w:tcPr>
            <w:tcW w:type="dxa" w:w="1474"/>
            <w:shd w:val="clear" w:fill="F2F2F2"/>
          </w:tcPr>
          <w:p>
            <w:pPr>
              <w:spacing w:after="0"/>
            </w:pPr>
            <w:r/>
            <w:r>
              <w:rPr>
                <w:sz w:val="17"/>
              </w:rPr>
              <w:t>CONSOLIDATE</w:t>
            </w:r>
          </w:p>
        </w:tc>
        <w:tc>
          <w:tcPr>
            <w:tcW w:type="dxa" w:w="3685"/>
            <w:shd w:val="clear" w:fill="F2F2F2"/>
          </w:tcPr>
          <w:p>
            <w:pPr>
              <w:spacing w:after="0"/>
            </w:pPr>
            <w:r/>
            <w:r>
              <w:rPr>
                <w:sz w:val="17"/>
              </w:rPr>
              <w:t>Worst late rate (17.65%) and 4/8 detractors; same-port absorption costs only +$4,281/period and cuts late orders 18 → ~1</w:t>
            </w:r>
          </w:p>
        </w:tc>
        <w:tc>
          <w:tcPr>
            <w:tcW w:type="dxa" w:w="2608"/>
            <w:shd w:val="clear" w:fill="F2F2F2"/>
          </w:tcPr>
          <w:p>
            <w:pPr>
              <w:spacing w:after="0"/>
            </w:pPr>
            <w:r/>
            <w:r>
              <w:rPr>
                <w:sz w:val="17"/>
              </w:rPr>
              <w:t>Resolve open complaints C-002/C-006; staged migration of V555555555_14 (75.5% of orders) with 30-day dual running</w:t>
            </w:r>
          </w:p>
        </w:tc>
      </w:tr>
      <w:tr>
        <w:tc>
          <w:tcPr>
            <w:tcW w:type="dxa" w:w="1871"/>
          </w:tcPr>
          <w:p>
            <w:pPr>
              <w:spacing w:after="0"/>
            </w:pPr>
            <w:r/>
            <w:r>
              <w:rPr>
                <w:sz w:val="17"/>
              </w:rPr>
              <w:t>PLANT09 (62.9)</w:t>
            </w:r>
          </w:p>
        </w:tc>
        <w:tc>
          <w:tcPr>
            <w:tcW w:type="dxa" w:w="1474"/>
          </w:tcPr>
          <w:p>
            <w:pPr>
              <w:spacing w:after="0"/>
            </w:pPr>
            <w:r/>
            <w:r>
              <w:rPr>
                <w:sz w:val="17"/>
              </w:rPr>
              <w:t>CONSOLIDATE</w:t>
            </w:r>
          </w:p>
        </w:tc>
        <w:tc>
          <w:tcPr>
            <w:tcW w:type="dxa" w:w="3685"/>
          </w:tcPr>
          <w:p>
            <w:pPr>
              <w:spacing w:after="0"/>
            </w:pPr>
            <w:r/>
            <w:r>
              <w:rPr>
                <w:sz w:val="17"/>
              </w:rPr>
              <w:t>Worst CSAT (2.50/5), 91.7% single-customer concentration, 3 complaints; absorption uplift ≤0.4% on absorber order bases</w:t>
            </w:r>
          </w:p>
        </w:tc>
        <w:tc>
          <w:tcPr>
            <w:tcW w:type="dxa" w:w="2608"/>
          </w:tcPr>
          <w:p>
            <w:pPr>
              <w:spacing w:after="0"/>
            </w:pPr>
            <w:r/>
            <w:r>
              <w:rPr>
                <w:sz w:val="17"/>
              </w:rPr>
              <w:t>Resolve C-009/C-014 first; named transition owner for V55555555_7; 30-day CSAT pulse post-migration</w:t>
            </w:r>
          </w:p>
        </w:tc>
      </w:tr>
      <w:tr>
        <w:tc>
          <w:tcPr>
            <w:tcW w:type="dxa" w:w="1871"/>
            <w:shd w:val="clear" w:fill="F2F2F2"/>
          </w:tcPr>
          <w:p>
            <w:pPr>
              <w:spacing w:after="0"/>
            </w:pPr>
            <w:r/>
            <w:r>
              <w:rPr>
                <w:sz w:val="17"/>
              </w:rPr>
              <w:t>PLANT15 (60.3)</w:t>
            </w:r>
          </w:p>
        </w:tc>
        <w:tc>
          <w:tcPr>
            <w:tcW w:type="dxa" w:w="1474"/>
            <w:shd w:val="clear" w:fill="F2F2F2"/>
          </w:tcPr>
          <w:p>
            <w:pPr>
              <w:spacing w:after="0"/>
            </w:pPr>
            <w:r/>
            <w:r>
              <w:rPr>
                <w:sz w:val="17"/>
              </w:rPr>
              <w:t>CONSOLIDATE (administrative)</w:t>
            </w:r>
          </w:p>
        </w:tc>
        <w:tc>
          <w:tcPr>
            <w:tcW w:type="dxa" w:w="3685"/>
            <w:shd w:val="clear" w:fill="F2F2F2"/>
          </w:tcPr>
          <w:p>
            <w:pPr>
              <w:spacing w:after="0"/>
            </w:pPr>
            <w:r/>
            <w:r>
              <w:rPr>
                <w:sz w:val="17"/>
              </w:rPr>
              <w:t>No volume but uncompetitive cost ($1.42/unit) and port-unique position; physical closure would strand PORT08 origination</w:t>
            </w:r>
          </w:p>
        </w:tc>
        <w:tc>
          <w:tcPr>
            <w:tcW w:type="dxa" w:w="2608"/>
            <w:shd w:val="clear" w:fill="F2F2F2"/>
          </w:tcPr>
          <w:p>
            <w:pPr>
              <w:spacing w:after="0"/>
            </w:pPr>
            <w:r/>
            <w:r>
              <w:rPr>
                <w:sz w:val="17"/>
              </w:rPr>
              <w:t>PORT08 lane SLA transferred or formally retired; fixed-cost audit before any physical shutdown</w:t>
            </w:r>
          </w:p>
        </w:tc>
      </w:tr>
      <w:tr>
        <w:tc>
          <w:tcPr>
            <w:tcW w:type="dxa" w:w="1871"/>
          </w:tcPr>
          <w:p>
            <w:pPr>
              <w:spacing w:after="0"/>
            </w:pPr>
            <w:r/>
            <w:r>
              <w:rPr>
                <w:sz w:val="17"/>
              </w:rPr>
              <w:t>PLANT06 (60.3)</w:t>
            </w:r>
          </w:p>
        </w:tc>
        <w:tc>
          <w:tcPr>
            <w:tcW w:type="dxa" w:w="1474"/>
          </w:tcPr>
          <w:p>
            <w:pPr>
              <w:spacing w:after="0"/>
            </w:pPr>
            <w:r/>
            <w:r>
              <w:rPr>
                <w:sz w:val="17"/>
              </w:rPr>
              <w:t>CONSOLIDATE</w:t>
            </w:r>
          </w:p>
        </w:tc>
        <w:tc>
          <w:tcPr>
            <w:tcW w:type="dxa" w:w="3685"/>
          </w:tcPr>
          <w:p>
            <w:pPr>
              <w:spacing w:after="0"/>
            </w:pPr>
            <w:r/>
            <w:r>
              <w:rPr>
                <w:sz w:val="17"/>
              </w:rPr>
              <w:t>Clean merge into larger, cheaper same-port peer PLANT05; no customer exposure</w:t>
            </w:r>
          </w:p>
        </w:tc>
        <w:tc>
          <w:tcPr>
            <w:tcW w:type="dxa" w:w="2608"/>
          </w:tcPr>
          <w:p>
            <w:pPr>
              <w:spacing w:after="0"/>
            </w:pPr>
            <w:r/>
            <w:r>
              <w:rPr>
                <w:sz w:val="17"/>
              </w:rPr>
              <w:t>Inventory/WMS cutover plan; single go-live date</w:t>
            </w:r>
          </w:p>
        </w:tc>
      </w:tr>
      <w:tr>
        <w:tc>
          <w:tcPr>
            <w:tcW w:type="dxa" w:w="1871"/>
            <w:shd w:val="clear" w:fill="F2F2F2"/>
          </w:tcPr>
          <w:p>
            <w:pPr>
              <w:spacing w:after="0"/>
            </w:pPr>
            <w:r/>
            <w:r>
              <w:rPr>
                <w:sz w:val="17"/>
              </w:rPr>
              <w:t>Watchlist: PLANT18 (56.3), PLANT10 (55.8), PLANT16 (38.4*)</w:t>
            </w:r>
          </w:p>
        </w:tc>
        <w:tc>
          <w:tcPr>
            <w:tcW w:type="dxa" w:w="1474"/>
            <w:shd w:val="clear" w:fill="F2F2F2"/>
          </w:tcPr>
          <w:p>
            <w:pPr>
              <w:spacing w:after="0"/>
            </w:pPr>
            <w:r/>
            <w:r>
              <w:rPr>
                <w:sz w:val="17"/>
              </w:rPr>
              <w:t>RETAIN-AND-MONITOR</w:t>
            </w:r>
          </w:p>
        </w:tc>
        <w:tc>
          <w:tcPr>
            <w:tcW w:type="dxa" w:w="3685"/>
            <w:shd w:val="clear" w:fill="F2F2F2"/>
          </w:tcPr>
          <w:p>
            <w:pPr>
              <w:spacing w:after="0"/>
            </w:pPr>
            <w:r/>
            <w:r>
              <w:rPr>
                <w:sz w:val="17"/>
              </w:rPr>
              <w:t>PLANT18: highest unit cost ($2.04) but port-unique, no volume; PLANT10: Tier-2 score, dual-port; PLANT16: low composite score yet −$341k/period migration sensitivity (S-1) — the strongest Phase-2 case once fixed costs are priced</w:t>
            </w:r>
          </w:p>
        </w:tc>
        <w:tc>
          <w:tcPr>
            <w:tcW w:type="dxa" w:w="2608"/>
            <w:shd w:val="clear" w:fill="F2F2F2"/>
          </w:tcPr>
          <w:p>
            <w:pPr>
              <w:spacing w:after="0"/>
            </w:pPr>
            <w:r/>
            <w:r>
              <w:rPr>
                <w:sz w:val="17"/>
              </w:rPr>
              <w:t>Quarterly re-score in the live workbook; PLANT16 cost-remediation study commissioned first</w:t>
            </w:r>
          </w:p>
        </w:tc>
      </w:tr>
    </w:tbl>
    <w:p>
      <w:r>
        <w:rPr>
          <w:sz w:val="17"/>
        </w:rPr>
        <w:t>*PLANT16 is not a Phase-1 candidate (composite 38.4, rank 12) but is flagged because scenario costing (Sensitivity S-1) shows material variable-cost savings from migrating its unique-port role; its 0.00% late rate and 4.20/5 satisfaction argue for protecting service first.</w:t>
      </w:r>
    </w:p>
    <w:p>
      <w:pPr>
        <w:spacing w:before="160" w:after="60"/>
      </w:pPr>
      <w:r>
        <w:rPr>
          <w:b/>
          <w:color w:val="1F3864"/>
          <w:sz w:val="24"/>
        </w:rPr>
        <w:t>6. Recommended Board Actions</w:t>
      </w:r>
    </w:p>
    <w:p>
      <w:pPr>
        <w:pStyle w:val="ListBullet"/>
        <w:spacing w:after="40"/>
      </w:pPr>
      <w:r>
        <w:rPr>
          <w:sz w:val="20"/>
        </w:rPr>
        <w:t>Approve Phase 1 now: CLOSE PLANT19; CONSOLIDATE PLANT08 and PLANT09 into the PORT04 cluster; administratively CONSOLIDATE PLANT15 and PLANT06. Total one-off $875,000; variable-cost impact +$20.7k per period, recovered by service gains and fixed-cost release.</w:t>
      </w:r>
    </w:p>
    <w:p>
      <w:pPr>
        <w:pStyle w:val="ListBullet"/>
        <w:spacing w:after="40"/>
      </w:pPr>
      <w:r>
        <w:rPr>
          <w:sz w:val="20"/>
        </w:rPr>
        <w:t>Commission the fixed-cost audit (CFO) before any physical shutdown — the single largest gap in the data room (R-08).</w:t>
      </w:r>
    </w:p>
    <w:p>
      <w:pPr>
        <w:pStyle w:val="ListBullet"/>
        <w:spacing w:after="40"/>
      </w:pPr>
      <w:r>
        <w:rPr>
          <w:sz w:val="20"/>
        </w:rPr>
        <w:t>Direct the COO to run the PLANT16 PORT09→PORT04 migration study as the lead Phase-2 item, including transit-time impact on its 173 orders (currently 0–1 days).</w:t>
      </w:r>
    </w:p>
    <w:p>
      <w:pPr>
        <w:pStyle w:val="ListBullet"/>
        <w:spacing w:after="40"/>
      </w:pPr>
      <w:r>
        <w:rPr>
          <w:sz w:val="20"/>
        </w:rPr>
        <w:t>Adopt the composite workbook as the standing network scorecard; re-score quarterly with refreshed order data so the 12 unobserved plants can be judged on evidence rather than neutrality.</w:t>
      </w:r>
    </w:p>
    <w:p>
      <w:pPr>
        <w:pStyle w:val="ListBullet"/>
        <w:spacing w:after="40"/>
      </w:pPr>
      <w:r>
        <w:rPr>
          <w:sz w:val="20"/>
        </w:rPr>
        <w:t>Hold the original efficiency-review workstream open: mode-mix and carrier-lane savings identified in the memo's scope remain valid, but should be re-based on the corrected rate-card facts (no SEA mode; AIR is the cheaper mode like-for-like).</w:t>
      </w:r>
    </w:p>
    <w:sectPr w:rsidR="00FC693F" w:rsidRPr="0006063C" w:rsidSect="00034616">
      <w:footerReference w:type="default" r:id="rId9"/>
      <w:pgSz w:w="12240" w:h="15840"/>
      <w:pgMar w:top="794"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CONFIDENTIAL — Prepared for the NovaTrans Logistics Board of Directors. Companion workbook: Plant_Consolidation_Scoring_Model.xlsx.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