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6"/>
        </w:rPr>
        <w:t>CITY OF GREENFIELD</w:t>
      </w:r>
    </w:p>
    <w:p>
      <w:pPr>
        <w:spacing w:after="40"/>
        <w:jc w:val="center"/>
      </w:pPr>
      <w:r>
        <w:rPr>
          <w:b w:val="0"/>
          <w:i w:val="0"/>
          <w:sz w:val="22"/>
        </w:rPr>
        <w:t>OFFICE OF THE MANAGEMENT ANALYST</w:t>
      </w:r>
    </w:p>
    <w:p>
      <w:pPr>
        <w:spacing w:after="200"/>
        <w:jc w:val="center"/>
      </w:pPr>
      <w:r>
        <w:rPr>
          <w:b/>
          <w:i w:val="0"/>
          <w:sz w:val="30"/>
        </w:rPr>
        <w:t>DECISION BRIEFING MEMORANDUM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152"/>
          </w:tcPr>
          <w:p>
            <w:r/>
            <w:r>
              <w:rPr>
                <w:b/>
                <w:sz w:val="20"/>
              </w:rPr>
              <w:t>TO:</w:t>
            </w:r>
          </w:p>
        </w:tc>
        <w:tc>
          <w:tcPr>
            <w:tcW w:type="dxa" w:w="8496"/>
          </w:tcPr>
          <w:p>
            <w:r/>
            <w:r>
              <w:rPr>
                <w:sz w:val="20"/>
              </w:rPr>
              <w:t>Members of the City Council; City Manager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20"/>
              </w:rPr>
              <w:t>FROM:</w:t>
            </w:r>
          </w:p>
        </w:tc>
        <w:tc>
          <w:tcPr>
            <w:tcW w:type="dxa" w:w="8496"/>
          </w:tcPr>
          <w:p>
            <w:r/>
            <w:r>
              <w:rPr>
                <w:sz w:val="20"/>
              </w:rPr>
              <w:t>Office of the Management Analyst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20"/>
              </w:rPr>
              <w:t>DATE:</w:t>
            </w:r>
          </w:p>
        </w:tc>
        <w:tc>
          <w:tcPr>
            <w:tcW w:type="dxa" w:w="8496"/>
          </w:tcPr>
          <w:p>
            <w:r/>
            <w:r>
              <w:rPr>
                <w:sz w:val="20"/>
              </w:rPr>
              <w:t>October 19, 2026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20"/>
              </w:rPr>
              <w:t>RE:</w:t>
            </w:r>
          </w:p>
        </w:tc>
        <w:tc>
          <w:tcPr>
            <w:tcW w:type="dxa" w:w="8496"/>
          </w:tcPr>
          <w:p>
            <w:r/>
            <w:r>
              <w:rPr>
                <w:sz w:val="20"/>
              </w:rPr>
              <w:t>Departmental restructuring: evaluation of Proposal A ("Consolidate") and Proposal B ("Targeted Fix"), with recommendation</w:t>
            </w:r>
          </w:p>
        </w:tc>
      </w:tr>
    </w:tbl>
    <w:p/>
    <w:p>
      <w:pPr>
        <w:pStyle w:val="Heading1"/>
      </w:pPr>
      <w:r>
        <w:t>1. Executive Summary</w:t>
      </w:r>
    </w:p>
    <w:p>
      <w:pPr>
        <w:spacing w:after="120"/>
      </w:pPr>
      <w:r>
        <w:rPr>
          <w:b w:val="0"/>
          <w:i w:val="0"/>
          <w:sz w:val="21"/>
        </w:rPr>
        <w:t>FY2024 closed with the City's five operating departments holding 542 of 596 authorized positions (9.1% vacancy), paying $4,354,518 in overtime (9.6% of regular hours), and missing the 65% on-time service standard on 8 of 25 tracked processes. The two highest-vacancy departments - Transportation (14.9%) and Health Services (16.7%) - are also the two slowest and lowest-rated on citizen satisfaction (13.6 average days to close a 311 request, 3.36 satisfaction for Transportation; 12.0 days, 3.72 for Health Services). Fire Department overtime is structural: 14.6% of regular hours, above 10% in all 12 months, and 47.9% of all overtime dollars citywide.</w:t>
      </w:r>
    </w:p>
    <w:p>
      <w:pPr>
        <w:spacing w:after="120"/>
      </w:pPr>
      <w:r>
        <w:rPr>
          <w:b w:val="0"/>
          <w:i w:val="0"/>
          <w:sz w:val="21"/>
        </w:rPr>
        <w:t>Two restructuring proposals were evaluated against FY2024 operating data and benchmarked against New York City municipal indicators (NYC MMR service targets; NYS Comptroller 2024 staffing-trends analysis). Proposal A consolidates the five departments into three (Community Wellness; Public Works; Fire standalone) and produces the largest recurring savings - $1,385,135 per year, 25 positions eliminated via attrition, net $1,085,135 in Year 2 after transition costs - but delivers only indirect service improvement (+1.0 on-time point) with material transition risk to clinical and field operations. Proposal B keeps all five departments and applies three targeted interventions only where metrics breach triggers (annual overtime above 10%; division vacancy above 12%); it improves failing service processes by a projected +8.0 on-time points and cuts citywide vacancy from 9.1% to ~5.4%, but nets $-674,920 in Year 2 - it purchases service recovery rather than savings.</w:t>
      </w:r>
    </w:p>
    <w:p>
      <w:pPr>
        <w:spacing w:after="120"/>
      </w:pPr>
      <w:r>
        <w:rPr>
          <w:b w:val="0"/>
          <w:i w:val="0"/>
          <w:sz w:val="21"/>
        </w:rPr>
        <w:t>Recommendation: adopt a hybrid - implement Proposal B now (12-month implementation), and implement the shared fleet-services component of Proposal A in Phase 2 (joint fleet shop without full merger), capturing an additional $260,088 per year. The hybrid scores 4.30 of 5.00 on the Council scorecard (vs 3.00 for A and 3.70 for B), nets $-414,831 in Year 2, touches 47 FTE with zero layoffs, and carries the lowest execution risk of the options that improve citizen-facing service. Full consolidation should be re-evaluated only if vacancy persists after the hiring interventions are given 12 months to work.</w:t>
      </w:r>
    </w:p>
    <w:p>
      <w:pPr>
        <w:pStyle w:val="Heading1"/>
      </w:pPr>
      <w:r>
        <w:t>2. Purpose and Scope</w:t>
      </w:r>
    </w:p>
    <w:p>
      <w:pPr>
        <w:spacing w:after="120"/>
      </w:pPr>
      <w:r>
        <w:rPr>
          <w:b w:val="0"/>
          <w:i w:val="0"/>
          <w:sz w:val="21"/>
        </w:rPr>
        <w:t>This memorandum supports a City Council decision on departmental restructuring. It (i) establishes the FY2024 baseline linking staffing posture to citizen service outcomes; (ii) places Greenfield metrics in context using pinned New York City benchmarks; (iii) evaluates both proposals on process bottlenecks, overtime cost structure, service-level agreement (SLA) risk, and workforce feasibility; and (iv) presents a comparative scorecard and a recommendation. All quantitative claims trace to the FY2024 staffing/overtime workbook, the FY2024 311 service request file, the NYC expense-budget extract, the NYC MMR indicator snapshot, and the NYS Comptroller staffing report (Appendix A). FY2024 is the most recent complete fiscal year (July 2023 - June 2024).</w:t>
      </w:r>
    </w:p>
    <w:p>
      <w:pPr>
        <w:pStyle w:val="Heading1"/>
      </w:pPr>
      <w:r>
        <w:t>3. Situation Overview: Staffing Meets Service Outcomes</w:t>
      </w:r>
    </w:p>
    <w:p>
      <w:pPr>
        <w:pStyle w:val="Heading2"/>
      </w:pPr>
      <w:r>
        <w:t>3.1 Staffing and overtime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94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Department</w:t>
            </w:r>
          </w:p>
        </w:tc>
        <w:tc>
          <w:tcPr>
            <w:tcW w:type="dxa" w:w="792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Auth.</w:t>
            </w:r>
          </w:p>
        </w:tc>
        <w:tc>
          <w:tcPr>
            <w:tcW w:type="dxa" w:w="792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Filled</w:t>
            </w:r>
          </w:p>
        </w:tc>
        <w:tc>
          <w:tcPr>
            <w:tcW w:type="dxa" w:w="1152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Vacancy %</w:t>
            </w:r>
          </w:p>
        </w:tc>
        <w:tc>
          <w:tcPr>
            <w:tcW w:type="dxa" w:w="158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Salary cost (filled)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OT hours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OT % of reg.</w:t>
            </w:r>
          </w:p>
        </w:tc>
        <w:tc>
          <w:tcPr>
            <w:tcW w:type="dxa" w:w="122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OT cost</w:t>
            </w:r>
          </w:p>
        </w:tc>
        <w:tc>
          <w:tcPr>
            <w:tcW w:type="dxa" w:w="1152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Months OT &gt;10%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Parks &amp; Recreation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9"/>
              </w:rPr>
              <w:t>116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9"/>
              </w:rPr>
              <w:t>110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9"/>
              </w:rPr>
              <w:t>5.2%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19"/>
              </w:rPr>
              <w:t>$4,713,500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19"/>
              </w:rPr>
              <w:t>13,968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19"/>
              </w:rPr>
              <w:t>6.1%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sz w:val="19"/>
              </w:rPr>
              <w:t>$453,960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Sanitation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9"/>
              </w:rPr>
              <w:t>108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9"/>
              </w:rPr>
              <w:t>101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9"/>
              </w:rPr>
              <w:t>6.5%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19"/>
              </w:rPr>
              <w:t>$4,290,100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19"/>
              </w:rPr>
              <w:t>20,867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19"/>
              </w:rPr>
              <w:t>9.8%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sz w:val="19"/>
              </w:rPr>
              <w:t>$646,877</w:t>
            </w:r>
          </w:p>
        </w:tc>
        <w:tc>
          <w:tcPr>
            <w:tcW w:type="dxa" w:w="1152"/>
            <w:shd w:val="clear" w:fill="FFC7CE"/>
          </w:tcPr>
          <w:p>
            <w:pPr>
              <w:jc w:val="center"/>
            </w:pPr>
            <w:r/>
            <w:r>
              <w:rPr>
                <w:b/>
                <w:color w:val="9C0006"/>
                <w:sz w:val="19"/>
              </w:rPr>
              <w:t>4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Transportation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9"/>
              </w:rPr>
              <w:t>134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9"/>
              </w:rPr>
              <w:t>114</w:t>
            </w:r>
          </w:p>
        </w:tc>
        <w:tc>
          <w:tcPr>
            <w:tcW w:type="dxa" w:w="1152"/>
            <w:shd w:val="clear" w:fill="FFC7CE"/>
          </w:tcPr>
          <w:p>
            <w:pPr>
              <w:jc w:val="center"/>
            </w:pPr>
            <w:r/>
            <w:r>
              <w:rPr>
                <w:b/>
                <w:color w:val="9C0006"/>
                <w:sz w:val="19"/>
              </w:rPr>
              <w:t>14.9%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19"/>
              </w:rPr>
              <w:t>$5,545,800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19"/>
              </w:rPr>
              <w:t>18,503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19"/>
              </w:rPr>
              <w:t>8.4%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sz w:val="19"/>
              </w:rPr>
              <w:t>$642,979</w:t>
            </w:r>
          </w:p>
        </w:tc>
        <w:tc>
          <w:tcPr>
            <w:tcW w:type="dxa" w:w="1152"/>
            <w:shd w:val="clear" w:fill="FFC7CE"/>
          </w:tcPr>
          <w:p>
            <w:pPr>
              <w:jc w:val="center"/>
            </w:pPr>
            <w:r/>
            <w:r>
              <w:rPr>
                <w:b/>
                <w:color w:val="9C0006"/>
                <w:sz w:val="19"/>
              </w:rPr>
              <w:t>2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Health Services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9"/>
              </w:rPr>
              <w:t>96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9"/>
              </w:rPr>
              <w:t>80</w:t>
            </w:r>
          </w:p>
        </w:tc>
        <w:tc>
          <w:tcPr>
            <w:tcW w:type="dxa" w:w="1152"/>
            <w:shd w:val="clear" w:fill="FFC7CE"/>
          </w:tcPr>
          <w:p>
            <w:pPr>
              <w:jc w:val="center"/>
            </w:pPr>
            <w:r/>
            <w:r>
              <w:rPr>
                <w:b/>
                <w:color w:val="9C0006"/>
                <w:sz w:val="19"/>
              </w:rPr>
              <w:t>16.7%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19"/>
              </w:rPr>
              <w:t>$4,835,100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19"/>
              </w:rPr>
              <w:t>12,660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19"/>
              </w:rPr>
              <w:t>7.1%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sz w:val="19"/>
              </w:rPr>
              <w:t>$525,390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Fire Department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9"/>
              </w:rPr>
              <w:t>142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9"/>
              </w:rPr>
              <w:t>137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9"/>
              </w:rPr>
              <w:t>3.5%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19"/>
              </w:rPr>
              <w:t>$9,005,400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19"/>
              </w:rPr>
              <w:t>43,444</w:t>
            </w:r>
          </w:p>
        </w:tc>
        <w:tc>
          <w:tcPr>
            <w:tcW w:type="dxa" w:w="1080"/>
            <w:shd w:val="clear" w:fill="FFC7CE"/>
          </w:tcPr>
          <w:p>
            <w:pPr>
              <w:jc w:val="center"/>
            </w:pPr>
            <w:r/>
            <w:r>
              <w:rPr>
                <w:b/>
                <w:color w:val="9C0006"/>
                <w:sz w:val="19"/>
              </w:rPr>
              <w:t>14.6%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sz w:val="19"/>
              </w:rPr>
              <w:t>$2,085,312</w:t>
            </w:r>
          </w:p>
        </w:tc>
        <w:tc>
          <w:tcPr>
            <w:tcW w:type="dxa" w:w="1152"/>
            <w:shd w:val="clear" w:fill="FFC7CE"/>
          </w:tcPr>
          <w:p>
            <w:pPr>
              <w:jc w:val="center"/>
            </w:pPr>
            <w:r/>
            <w:r>
              <w:rPr>
                <w:b/>
                <w:color w:val="9C0006"/>
                <w:sz w:val="19"/>
              </w:rPr>
              <w:t>12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CITYWIDE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9"/>
              </w:rPr>
              <w:t>596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9"/>
              </w:rPr>
              <w:t>542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9"/>
              </w:rPr>
              <w:t>9.1%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19"/>
              </w:rPr>
              <w:t>$28,389,900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19"/>
              </w:rPr>
              <w:t>109,442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19"/>
              </w:rPr>
              <w:t>9.6%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sz w:val="19"/>
              </w:rPr>
              <w:t>$4,354,518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9"/>
              </w:rPr>
              <w:t>18</w:t>
            </w:r>
          </w:p>
        </w:tc>
      </w:tr>
    </w:tbl>
    <w:p>
      <w:pPr>
        <w:spacing w:after="200"/>
      </w:pPr>
      <w:r>
        <w:rPr>
          <w:b w:val="0"/>
          <w:i/>
          <w:sz w:val="18"/>
        </w:rPr>
        <w:t>Table 1. FY2024 staffing and overtime by department [S1]. Red = breach of decision triggers (vacancy &gt;12%; OT &gt;10% of regular hours). Salary cost covers filled positions only.</w:t>
      </w:r>
    </w:p>
    <w:p>
      <w:pPr>
        <w:spacing w:after="120"/>
      </w:pPr>
      <w:r>
        <w:rPr>
          <w:b w:val="0"/>
          <w:i w:val="0"/>
          <w:sz w:val="21"/>
        </w:rPr>
        <w:t>Citywide payroll for filled positions is $28,389,900; total compensation including overtime is $32,744,418. Overtime averages 9.59% of regular hours, but the distribution is skewed: Fire (14.6%) runs overtime in every month of the year, while Sanitation (9.8%) and Transportation (8.4%) breach 10% in 4 and 2 months respectively - seasonal spikes, not structural dependency.</w:t>
      </w:r>
    </w:p>
    <w:p>
      <w:pPr>
        <w:pStyle w:val="Heading2"/>
      </w:pPr>
      <w:r>
        <w:t>3.2 Citizen service outcomes (311 and process metrics)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872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Department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311 volume</w:t>
            </w:r>
          </w:p>
        </w:tc>
        <w:tc>
          <w:tcPr>
            <w:tcW w:type="dxa" w:w="122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Avg days to close</w:t>
            </w:r>
          </w:p>
        </w:tc>
        <w:tc>
          <w:tcPr>
            <w:tcW w:type="dxa" w:w="1296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Satisfaction (1-5)</w:t>
            </w:r>
          </w:p>
        </w:tc>
        <w:tc>
          <w:tcPr>
            <w:tcW w:type="dxa" w:w="2736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Worst on-time process</w:t>
            </w:r>
          </w:p>
        </w:tc>
        <w:tc>
          <w:tcPr>
            <w:tcW w:type="dxa" w:w="1152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Worst on-time %</w:t>
            </w:r>
          </w:p>
        </w:tc>
        <w:tc>
          <w:tcPr>
            <w:tcW w:type="dxa" w:w="1152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Processes &lt;65%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Parks &amp; Recreation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19"/>
              </w:rPr>
              <w:t>99</w:t>
            </w:r>
          </w:p>
        </w:tc>
        <w:tc>
          <w:tcPr>
            <w:tcW w:type="dxa" w:w="1224"/>
            <w:shd w:val="clear" w:fill="FFC7CE"/>
          </w:tcPr>
          <w:p>
            <w:pPr>
              <w:jc w:val="center"/>
            </w:pPr>
            <w:r/>
            <w:r>
              <w:rPr>
                <w:b/>
                <w:color w:val="9C0006"/>
                <w:sz w:val="19"/>
              </w:rPr>
              <w:t>12.5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19"/>
              </w:rPr>
              <w:t>3.55</w:t>
            </w:r>
          </w:p>
        </w:tc>
        <w:tc>
          <w:tcPr>
            <w:tcW w:type="dxa" w:w="2736"/>
          </w:tcPr>
          <w:p>
            <w:pPr>
              <w:jc w:val="center"/>
            </w:pPr>
            <w:r/>
            <w:r>
              <w:rPr>
                <w:sz w:val="19"/>
              </w:rPr>
              <w:t>Tree Removal Request</w:t>
            </w:r>
          </w:p>
        </w:tc>
        <w:tc>
          <w:tcPr>
            <w:tcW w:type="dxa" w:w="1152"/>
            <w:shd w:val="clear" w:fill="FFC7CE"/>
          </w:tcPr>
          <w:p>
            <w:pPr>
              <w:jc w:val="center"/>
            </w:pPr>
            <w:r/>
            <w:r>
              <w:rPr>
                <w:b/>
                <w:color w:val="9C0006"/>
                <w:sz w:val="19"/>
              </w:rPr>
              <w:t>62.4%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9"/>
              </w:rPr>
              <w:t>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Sanitation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19"/>
              </w:rPr>
              <w:t>148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sz w:val="19"/>
              </w:rPr>
              <w:t>9.0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19"/>
              </w:rPr>
              <w:t>3.64</w:t>
            </w:r>
          </w:p>
        </w:tc>
        <w:tc>
          <w:tcPr>
            <w:tcW w:type="dxa" w:w="2736"/>
          </w:tcPr>
          <w:p>
            <w:pPr>
              <w:jc w:val="center"/>
            </w:pPr>
            <w:r/>
            <w:r>
              <w:rPr>
                <w:sz w:val="19"/>
              </w:rPr>
              <w:t>Illegal Dumping Investigation</w:t>
            </w:r>
          </w:p>
        </w:tc>
        <w:tc>
          <w:tcPr>
            <w:tcW w:type="dxa" w:w="1152"/>
            <w:shd w:val="clear" w:fill="FFC7CE"/>
          </w:tcPr>
          <w:p>
            <w:pPr>
              <w:jc w:val="center"/>
            </w:pPr>
            <w:r/>
            <w:r>
              <w:rPr>
                <w:b/>
                <w:color w:val="9C0006"/>
                <w:sz w:val="19"/>
              </w:rPr>
              <w:t>54.2%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Transportation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19"/>
              </w:rPr>
              <w:t>126</w:t>
            </w:r>
          </w:p>
        </w:tc>
        <w:tc>
          <w:tcPr>
            <w:tcW w:type="dxa" w:w="1224"/>
            <w:shd w:val="clear" w:fill="FFC7CE"/>
          </w:tcPr>
          <w:p>
            <w:pPr>
              <w:jc w:val="center"/>
            </w:pPr>
            <w:r/>
            <w:r>
              <w:rPr>
                <w:b/>
                <w:color w:val="9C0006"/>
                <w:sz w:val="19"/>
              </w:rPr>
              <w:t>13.6</w:t>
            </w:r>
          </w:p>
        </w:tc>
        <w:tc>
          <w:tcPr>
            <w:tcW w:type="dxa" w:w="1296"/>
            <w:shd w:val="clear" w:fill="FFC7CE"/>
          </w:tcPr>
          <w:p>
            <w:pPr>
              <w:jc w:val="center"/>
            </w:pPr>
            <w:r/>
            <w:r>
              <w:rPr>
                <w:b/>
                <w:color w:val="9C0006"/>
                <w:sz w:val="19"/>
              </w:rPr>
              <w:t>3.36</w:t>
            </w:r>
          </w:p>
        </w:tc>
        <w:tc>
          <w:tcPr>
            <w:tcW w:type="dxa" w:w="2736"/>
          </w:tcPr>
          <w:p>
            <w:pPr>
              <w:jc w:val="center"/>
            </w:pPr>
            <w:r/>
            <w:r>
              <w:rPr>
                <w:sz w:val="19"/>
              </w:rPr>
              <w:t>Street Resurfacing Project</w:t>
            </w:r>
          </w:p>
        </w:tc>
        <w:tc>
          <w:tcPr>
            <w:tcW w:type="dxa" w:w="1152"/>
            <w:shd w:val="clear" w:fill="FFC7CE"/>
          </w:tcPr>
          <w:p>
            <w:pPr>
              <w:jc w:val="center"/>
            </w:pPr>
            <w:r/>
            <w:r>
              <w:rPr>
                <w:b/>
                <w:color w:val="9C0006"/>
                <w:sz w:val="19"/>
              </w:rPr>
              <w:t>48.3%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Health Services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19"/>
              </w:rPr>
              <w:t>75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sz w:val="19"/>
              </w:rPr>
              <w:t>12.0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19"/>
              </w:rPr>
              <w:t>3.72</w:t>
            </w:r>
          </w:p>
        </w:tc>
        <w:tc>
          <w:tcPr>
            <w:tcW w:type="dxa" w:w="2736"/>
          </w:tcPr>
          <w:p>
            <w:pPr>
              <w:jc w:val="center"/>
            </w:pPr>
            <w:r/>
            <w:r>
              <w:rPr>
                <w:sz w:val="19"/>
              </w:rPr>
              <w:t>Environmental Complaint Investigation</w:t>
            </w:r>
          </w:p>
        </w:tc>
        <w:tc>
          <w:tcPr>
            <w:tcW w:type="dxa" w:w="1152"/>
            <w:shd w:val="clear" w:fill="FFC7CE"/>
          </w:tcPr>
          <w:p>
            <w:pPr>
              <w:jc w:val="center"/>
            </w:pPr>
            <w:r/>
            <w:r>
              <w:rPr>
                <w:b/>
                <w:color w:val="9C0006"/>
                <w:sz w:val="19"/>
              </w:rPr>
              <w:t>64.1%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9"/>
              </w:rPr>
              <w:t>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Fire Department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19"/>
              </w:rPr>
              <w:t>52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sz w:val="19"/>
              </w:rPr>
              <w:t>3.8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19"/>
              </w:rPr>
              <w:t>4.23</w:t>
            </w:r>
          </w:p>
        </w:tc>
        <w:tc>
          <w:tcPr>
            <w:tcW w:type="dxa" w:w="2736"/>
          </w:tcPr>
          <w:p>
            <w:pPr>
              <w:jc w:val="center"/>
            </w:pPr>
            <w:r/>
            <w:r>
              <w:rPr>
                <w:sz w:val="19"/>
              </w:rPr>
              <w:t>Plan Review (New Construction)</w:t>
            </w:r>
          </w:p>
        </w:tc>
        <w:tc>
          <w:tcPr>
            <w:tcW w:type="dxa" w:w="1152"/>
            <w:shd w:val="clear" w:fill="FFC7CE"/>
          </w:tcPr>
          <w:p>
            <w:pPr>
              <w:jc w:val="center"/>
            </w:pPr>
            <w:r/>
            <w:r>
              <w:rPr>
                <w:b/>
                <w:color w:val="9C0006"/>
                <w:sz w:val="19"/>
              </w:rPr>
              <w:t>59.6%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9"/>
              </w:rPr>
              <w:t>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CITYWIDE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19"/>
              </w:rPr>
              <w:t>500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sz w:val="19"/>
              </w:rPr>
              <w:t>10.8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19"/>
              </w:rPr>
              <w:t>3.63</w:t>
            </w:r>
          </w:p>
        </w:tc>
        <w:tc>
          <w:tcPr>
            <w:tcW w:type="dxa" w:w="2736"/>
          </w:tcPr>
          <w:p>
            <w:pPr>
              <w:jc w:val="center"/>
            </w:pPr>
            <w:r/>
            <w:r>
              <w:rPr>
                <w:sz w:val="19"/>
              </w:rPr>
              <w:t>Street Resurfacing Project (Transportation)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9"/>
              </w:rPr>
              <w:t>48.3%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9"/>
              </w:rPr>
              <w:t>8</w:t>
            </w:r>
          </w:p>
        </w:tc>
      </w:tr>
    </w:tbl>
    <w:p>
      <w:pPr>
        <w:spacing w:after="200"/>
      </w:pPr>
      <w:r>
        <w:rPr>
          <w:b w:val="0"/>
          <w:i/>
          <w:sz w:val="18"/>
        </w:rPr>
        <w:t>Table 2. FY2024 citizen service outcomes [S1][S2]. Red = below target (on-time &lt;65%; satisfaction &lt;3.5; &gt;12 days average resolution). Citywide averages are volume-weighted (437 of 500 requests closed).</w:t>
      </w:r>
    </w:p>
    <w:p>
      <w:pPr>
        <w:spacing w:after="120"/>
      </w:pPr>
      <w:r>
        <w:rPr>
          <w:b w:val="0"/>
          <w:i w:val="0"/>
          <w:sz w:val="21"/>
        </w:rPr>
        <w:t>The cross-reference is the analytical core of this decision. Every department with vacancy above 12% (Transportation 14.9%, Health Services 16.7%) posts the slowest 311 resolution (13.6 and 12.0 days), the lowest satisfaction (3.36 and 3.72), and the worst on-time process performance (48.3% and 64.1%). Conversely, Fire - with the lowest vacancy (3.5%) and the highest compensation - closes requests in 3.8 days at 4.23 satisfaction. Staffing posture, not departmental structure, is the primary driver of service outcomes. A further warning sign: 63 open 311 requests average roughly 200 days of age, and weighted turnover in Transportation (20.4%) and Health Services (23.1%) is four to five times the Fire rate (4.9%), meaning vacancies self-reinforce.</w:t>
      </w:r>
    </w:p>
    <w:p>
      <w:pPr>
        <w:pStyle w:val="Heading2"/>
      </w:pPr>
      <w:r>
        <w:t>3.3 Compensation structure</w:t>
      </w:r>
    </w:p>
    <w:p>
      <w:pPr>
        <w:spacing w:after="120"/>
      </w:pPr>
      <w:r>
        <w:rPr>
          <w:b w:val="0"/>
          <w:i w:val="0"/>
          <w:sz w:val="21"/>
        </w:rPr>
        <w:t>Greenfield total compensation per filled employee (salary plus overtime) is $60,414 citywide - ranging from $46,977 (Parks) to $80,954 (Fire). Benchmarking personnel cost per employee against NYC FY2025 adopted personnel-service budgets [S3] shows Greenfield civilian departments operate at 14.5-20.4% of NYC personnel cost per employee, while Fire reaches 22.6%. Fire is also the only department whose compensation structure (heavy overtime at $48.00/hour) resembles NYC uniformed services - and, consistently, the only one with low turnover. The pattern supports a wage-driven vacancy explanation for civilian departments rather than a structural one.</w:t>
      </w:r>
    </w:p>
    <w:p>
      <w:pPr>
        <w:pStyle w:val="Heading1"/>
      </w:pPr>
      <w:r>
        <w:t>4. Benchmark Context: What the NYC Data Tells Us</w:t>
      </w:r>
    </w:p>
    <w:p>
      <w:pPr>
        <w:spacing w:after="120"/>
      </w:pPr>
      <w:r>
        <w:rPr>
          <w:b w:val="0"/>
          <w:i w:val="0"/>
          <w:sz w:val="21"/>
        </w:rPr>
        <w:t>Two pinned reference sources frame the decision.</w:t>
      </w:r>
    </w:p>
    <w:p>
      <w:pPr>
        <w:pStyle w:val="ListBullet"/>
        <w:spacing w:after="60"/>
      </w:pPr>
      <w:r>
        <w:rPr>
          <w:b/>
        </w:rPr>
        <w:t xml:space="preserve">NYS Comptroller, "2024 Update on NYC Staffing Trends" (Report 2-2025) [S5] </w:t>
      </w:r>
      <w:r>
        <w:t>reports citywide vacancy of 5.1% as of January 2024 - recovering from an 8.4% peak in December 2022 but still far above the 2.0% pre-pandemic norm. Program-area vacancies in Transportation (10.0%) and Health (9.3%) mirror the divisions Greenfield is struggling with. Attrition peaked in FY2022 (48,864 separations) and FDNY attrition ran 52% above pre-pandemic levels. Overtime grew to $1.8B through March 2024 (from $1.1B three years prior), lifting OT to 10.8% of payroll, with FDNY Fire Extinguishing &amp; Emergency Response overtime reaching 40.3% of payroll. DCAS hiring pipeline improvements (exam turnaround cut from 318 to 219 days; applications up from 75,489 in FY2021 to 119,599 in FY2023) show that targeted hiring investment, not reorganization, moved the metrics.</w:t>
      </w:r>
    </w:p>
    <w:p>
      <w:pPr>
        <w:pStyle w:val="ListBullet"/>
        <w:spacing w:after="60"/>
      </w:pPr>
      <w:r>
        <w:rPr>
          <w:b/>
        </w:rPr>
        <w:t xml:space="preserve">NYC MMR service indicators, FY2026 citywide [S4] </w:t>
      </w:r>
      <w:r>
        <w:t>shows what achieved service standards look like when staffing holds: DOT closes 100% of pothole complaints within the 30-day standard (target 98%); DOHMH meets its 90% food-establishment inspection SLA and responds to birth-certificate requests in 2.6 days against a 3-day target; FDNY structural-fire response averages 4.37 minutes against a 4.14 target, while EMS life-threatening response (9.32 vs 6.55 target) shows the strain of the same attrition dynamics the Comptroller documents. DPR supports 27,015 adult recreation memberships; DSNY generates $13/ton in recycling revenue.</w:t>
      </w:r>
    </w:p>
    <w:p>
      <w:pPr>
        <w:spacing w:after="120"/>
      </w:pPr>
      <w:r>
        <w:rPr>
          <w:b w:val="0"/>
          <w:i w:val="0"/>
          <w:sz w:val="21"/>
        </w:rPr>
        <w:t>Implication for Greenfield: NYC experience indicates (i) vacancy and overtime are jointly driven by attrition and compensation position; (ii) OT growth is a symptom that precedes service failure; and (iii) the interventions with demonstrated effect are hiring-pipeline investment and targeted OT management - precisely the mechanics of Proposal B - while large-scale consolidation is not evidenced as a vacancy remedy.</w:t>
      </w:r>
    </w:p>
    <w:p>
      <w:pPr>
        <w:pStyle w:val="Heading1"/>
      </w:pPr>
      <w:r>
        <w:t>5. Proposal A - "Consolidate": Evaluation</w:t>
      </w:r>
    </w:p>
    <w:p>
      <w:pPr>
        <w:pStyle w:val="Heading2"/>
      </w:pPr>
      <w:r>
        <w:t>5.1 Mechanics and quantified savings</w:t>
      </w:r>
    </w:p>
    <w:p>
      <w:pPr>
        <w:spacing w:after="120"/>
      </w:pPr>
      <w:r>
        <w:rPr>
          <w:b w:val="0"/>
          <w:i w:val="0"/>
          <w:sz w:val="21"/>
        </w:rPr>
        <w:t>Proposal A merges Health Services + Parks &amp; Recreation into "Community Wellness" and Transportation + Sanitation into "Public Works"; Fire remains standalone. Savings were modeled bottom-up [S1]: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2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Ref</w:t>
            </w:r>
          </w:p>
        </w:tc>
        <w:tc>
          <w:tcPr>
            <w:tcW w:type="dxa" w:w="302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176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Basis</w:t>
            </w:r>
          </w:p>
        </w:tc>
        <w:tc>
          <w:tcPr>
            <w:tcW w:type="dxa" w:w="1152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Positions</w:t>
            </w:r>
          </w:p>
        </w:tc>
        <w:tc>
          <w:tcPr>
            <w:tcW w:type="dxa" w:w="144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Annual savings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A1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sz w:val="19"/>
              </w:rPr>
              <w:t>Administrative span-of-control consolidation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sz w:val="19"/>
              </w:rPr>
              <w:t>4% of merged authorized positions exit via 24-month attrition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9"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9"/>
              </w:rPr>
              <w:t>$859,530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A2a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sz w:val="19"/>
              </w:rPr>
              <w:t>Shared fleet maintenance shop (PW)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sz w:val="19"/>
              </w:rPr>
              <w:t>20% of Sanitation Fleet Maintenance (17 filled) absorbed into joint shop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9"/>
              </w:rPr>
              <w:t>$156,900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A2b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sz w:val="19"/>
              </w:rPr>
              <w:t>Fleet OT reduction (PW)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sz w:val="19"/>
              </w:rPr>
              <w:t>8% of combined PW OT cost ($1,289,856) via consolidated scheduling/dispatch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9"/>
              </w:rPr>
              <w:t>$103,188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A3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sz w:val="19"/>
              </w:rPr>
              <w:t>Shared field-crew deployment (PW)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sz w:val="19"/>
              </w:rPr>
              <w:t>5% of PW OT cost via cross-borough route sharing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9"/>
              </w:rPr>
              <w:t>$64,493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A4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sz w:val="19"/>
              </w:rPr>
              <w:t>Seasonal flex retiming (CW)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sz w:val="19"/>
              </w:rPr>
              <w:t>2% of CW authorized positions retimed across peak seasons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9"/>
              </w:rPr>
              <w:t>$201,023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sz w:val="19"/>
              </w:rPr>
              <w:t>Total recurring savings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9"/>
              </w:rPr>
              <w:t>25 positions removed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9"/>
              </w:rPr>
              <w:t>$1,385,135</w:t>
            </w:r>
          </w:p>
        </w:tc>
      </w:tr>
    </w:tbl>
    <w:p>
      <w:pPr>
        <w:spacing w:after="200"/>
      </w:pPr>
      <w:r>
        <w:rPr>
          <w:b w:val="0"/>
          <w:i/>
          <w:sz w:val="18"/>
        </w:rPr>
        <w:t>Table 3. Proposal A savings model [S1]. One-time transition cost $1,200,000 (75% Year 1 / 25% Year 2); savings phase in at 50% Year 1 / 100% Year 2.</w:t>
      </w:r>
    </w:p>
    <w:p>
      <w:pPr>
        <w:spacing w:after="120"/>
      </w:pPr>
      <w:r>
        <w:rPr>
          <w:b w:val="0"/>
          <w:i w:val="0"/>
          <w:sz w:val="21"/>
        </w:rPr>
        <w:t>Net fiscal impact: $-207,433 in Year 1 (transition drag) turning to $1,085,135 in Year 2. Projected authorized headcount: Community Wellness 200 (from 212), Public Works 232 (from 242), Fire 142 (unchanged) - a citywide authorized strength of 574.</w:t>
      </w:r>
    </w:p>
    <w:p>
      <w:pPr>
        <w:pStyle w:val="Heading2"/>
      </w:pPr>
      <w:r>
        <w:t>5.2 Process bottlenecks and OT cost structure</w:t>
      </w:r>
    </w:p>
    <w:p>
      <w:pPr>
        <w:spacing w:after="120"/>
      </w:pPr>
      <w:r>
        <w:rPr>
          <w:b w:val="0"/>
          <w:i w:val="0"/>
          <w:sz w:val="21"/>
        </w:rPr>
        <w:t>The consolidation premise - shared fleet, shared field crews, geographic overlap - is factually supported: all five departments already operate in all five boroughs [S1], and the merged Public Works would carry a combined OT cost of $1,289,856. However, the bottlenecks that drive citizen outcomes are not addressable by merger: Street Resurfacing (48.3% on-time) fails because Road Maintenance is 14.8% vacant, not because Transportation lacks scale; Environmental Complaint Investigation (64.1%) fails because Clinical/Environmental Health hiring cannot keep pace with 23.1% turnover. Merging departments changes reporting lines, not hiring yield. The one structural OT saving available - fleet-shop consolidation (A2a/A2b, $260,088 combined) - does not require a full merger to capture.</w:t>
      </w:r>
    </w:p>
    <w:p>
      <w:pPr>
        <w:pStyle w:val="Heading2"/>
      </w:pPr>
      <w:r>
        <w:t>5.3 SLA risk and workforce feasibility</w:t>
      </w:r>
    </w:p>
    <w:p>
      <w:pPr>
        <w:pStyle w:val="ListBullet"/>
        <w:spacing w:after="60"/>
      </w:pPr>
      <w:r>
        <w:rPr>
          <w:b/>
        </w:rPr>
        <w:t xml:space="preserve">SLA risk: </w:t>
      </w:r>
      <w:r>
        <w:t>Merging clinical services (Health) with recreation programming (Parks) re-issues SOPs across dissimilar services during a 12-month transition; the model carries an assessed 2-5 point temporary on-time dip - which would push four additional processes below the 65% line.</w:t>
      </w:r>
    </w:p>
    <w:p>
      <w:pPr>
        <w:pStyle w:val="ListBullet"/>
        <w:spacing w:after="60"/>
      </w:pPr>
      <w:r>
        <w:rPr>
          <w:b/>
        </w:rPr>
        <w:t xml:space="preserve">Workforce feasibility: </w:t>
      </w:r>
      <w:r>
        <w:t>Positions exit only through a 24-month attrition freeze (no layoffs). Union contract interpretation for merged civilian titles and re-certification of clinical supervisors are the binding constraints; attrition timing is not controllable, which is why Year 1 nets negative.</w:t>
      </w:r>
    </w:p>
    <w:p>
      <w:pPr>
        <w:pStyle w:val="ListBullet"/>
        <w:spacing w:after="60"/>
      </w:pPr>
      <w:r>
        <w:rPr>
          <w:b/>
        </w:rPr>
        <w:t xml:space="preserve">Verdict: </w:t>
      </w:r>
      <w:r>
        <w:t>Savings are real but one-time structural: $1,385,135 recurring (4.9% of the five-department compensation base) with no mechanism to move vacancy, turnover, or the 8 failing processes. Scorecard: savings 5, SLA 2, FTE agility 3, complexity 4, risk 4 - weighted 3.00.</w:t>
      </w:r>
    </w:p>
    <w:p>
      <w:pPr>
        <w:pStyle w:val="Heading1"/>
      </w:pPr>
      <w:r>
        <w:t>6. Proposal B - "Targeted Fix": Evaluation</w:t>
      </w:r>
    </w:p>
    <w:p>
      <w:pPr>
        <w:pStyle w:val="Heading2"/>
      </w:pPr>
      <w:r>
        <w:t>6.1 Trigger screen</w:t>
      </w:r>
    </w:p>
    <w:p>
      <w:pPr>
        <w:spacing w:after="120"/>
      </w:pPr>
      <w:r>
        <w:rPr>
          <w:b w:val="0"/>
          <w:i w:val="0"/>
          <w:sz w:val="21"/>
        </w:rPr>
        <w:t>Proposal B keeps all five departments and intervenes only where FY2024 metrics breach thresholds:</w:t>
      </w:r>
    </w:p>
    <w:p>
      <w:pPr>
        <w:pStyle w:val="ListBullet"/>
        <w:spacing w:after="60"/>
      </w:pPr>
      <w:r>
        <w:rPr>
          <w:b/>
        </w:rPr>
        <w:t xml:space="preserve">Annual OT &gt;10%: </w:t>
      </w:r>
      <w:r>
        <w:t>only Fire Department qualifies (14.6% of regular hours; above 10% in all 12 months). Sanitation (9.8%) and Transportation (8.4%) breach 10% only in seasonal months and are handled by pooled OT approval, not caps.</w:t>
      </w:r>
    </w:p>
    <w:p>
      <w:pPr>
        <w:pStyle w:val="ListBullet"/>
        <w:spacing w:after="60"/>
      </w:pPr>
      <w:r>
        <w:rPr>
          <w:b/>
        </w:rPr>
        <w:t xml:space="preserve">Division vacancy &gt;12%: </w:t>
      </w:r>
      <w:r>
        <w:t>8 divisions with 36 vacancies - all four Transportation divisions (20 vacancies, 12.5-15.8% rates) and all four Health Services divisions (16 vacancies, 13.6-18.2% rates). No division in Parks, Sanitation, or Fire exceeds 12%.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Department</w:t>
            </w:r>
          </w:p>
        </w:tc>
        <w:tc>
          <w:tcPr>
            <w:tcW w:type="dxa" w:w="3168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Division</w:t>
            </w:r>
          </w:p>
        </w:tc>
        <w:tc>
          <w:tcPr>
            <w:tcW w:type="dxa" w:w="144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Vacancy %</w:t>
            </w:r>
          </w:p>
        </w:tc>
        <w:tc>
          <w:tcPr>
            <w:tcW w:type="dxa" w:w="1872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Vacant positions</w:t>
            </w:r>
          </w:p>
        </w:tc>
      </w:tr>
      <w:tr>
        <w:tc>
          <w:tcPr>
            <w:tcW w:type="dxa" w:w="2160"/>
            <w:shd w:val="clear" w:fill="FFC7CE"/>
          </w:tcPr>
          <w:p>
            <w:r/>
            <w:r>
              <w:rPr>
                <w:b/>
                <w:color w:val="9C0006"/>
                <w:sz w:val="19"/>
              </w:rPr>
              <w:t>Transportation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sz w:val="19"/>
              </w:rPr>
              <w:t>Road Maintenance</w:t>
            </w:r>
          </w:p>
        </w:tc>
        <w:tc>
          <w:tcPr>
            <w:tcW w:type="dxa" w:w="1440"/>
            <w:shd w:val="clear" w:fill="FFC7CE"/>
          </w:tcPr>
          <w:p>
            <w:pPr>
              <w:jc w:val="center"/>
            </w:pPr>
            <w:r/>
            <w:r>
              <w:rPr>
                <w:b/>
                <w:color w:val="9C0006"/>
                <w:sz w:val="19"/>
              </w:rPr>
              <w:t>14.8%</w:t>
            </w:r>
          </w:p>
        </w:tc>
        <w:tc>
          <w:tcPr>
            <w:tcW w:type="dxa" w:w="1872"/>
            <w:shd w:val="clear" w:fill="FFC7CE"/>
          </w:tcPr>
          <w:p>
            <w:pPr>
              <w:jc w:val="center"/>
            </w:pPr>
            <w:r/>
            <w:r>
              <w:rPr>
                <w:b/>
                <w:color w:val="9C0006"/>
                <w:sz w:val="19"/>
              </w:rPr>
              <w:t>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sz w:val="19"/>
              </w:rPr>
              <w:t>Traffic Engineering</w:t>
            </w:r>
          </w:p>
        </w:tc>
        <w:tc>
          <w:tcPr>
            <w:tcW w:type="dxa" w:w="1440"/>
            <w:shd w:val="clear" w:fill="FFC7CE"/>
          </w:tcPr>
          <w:p>
            <w:pPr>
              <w:jc w:val="center"/>
            </w:pPr>
            <w:r/>
            <w:r>
              <w:rPr>
                <w:b/>
                <w:color w:val="9C0006"/>
                <w:sz w:val="19"/>
              </w:rPr>
              <w:t>15.4%</w:t>
            </w:r>
          </w:p>
        </w:tc>
        <w:tc>
          <w:tcPr>
            <w:tcW w:type="dxa" w:w="1872"/>
            <w:shd w:val="clear" w:fill="FFC7CE"/>
          </w:tcPr>
          <w:p>
            <w:pPr>
              <w:jc w:val="center"/>
            </w:pPr>
            <w:r/>
            <w:r>
              <w:rPr>
                <w:b/>
                <w:color w:val="9C0006"/>
                <w:sz w:val="19"/>
              </w:rPr>
              <w:t>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sz w:val="19"/>
              </w:rPr>
              <w:t>Public Transit</w:t>
            </w:r>
          </w:p>
        </w:tc>
        <w:tc>
          <w:tcPr>
            <w:tcW w:type="dxa" w:w="1440"/>
            <w:shd w:val="clear" w:fill="FFC7CE"/>
          </w:tcPr>
          <w:p>
            <w:pPr>
              <w:jc w:val="center"/>
            </w:pPr>
            <w:r/>
            <w:r>
              <w:rPr>
                <w:b/>
                <w:color w:val="9C0006"/>
                <w:sz w:val="19"/>
              </w:rPr>
              <w:t>15.8%</w:t>
            </w:r>
          </w:p>
        </w:tc>
        <w:tc>
          <w:tcPr>
            <w:tcW w:type="dxa" w:w="1872"/>
            <w:shd w:val="clear" w:fill="FFC7CE"/>
          </w:tcPr>
          <w:p>
            <w:pPr>
              <w:jc w:val="center"/>
            </w:pPr>
            <w:r/>
            <w:r>
              <w:rPr>
                <w:b/>
                <w:color w:val="9C0006"/>
                <w:sz w:val="19"/>
              </w:rPr>
              <w:t>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sz w:val="19"/>
              </w:rPr>
              <w:t>Planning &amp; Design</w:t>
            </w:r>
          </w:p>
        </w:tc>
        <w:tc>
          <w:tcPr>
            <w:tcW w:type="dxa" w:w="1440"/>
            <w:shd w:val="clear" w:fill="FFC7CE"/>
          </w:tcPr>
          <w:p>
            <w:pPr>
              <w:jc w:val="center"/>
            </w:pPr>
            <w:r/>
            <w:r>
              <w:rPr>
                <w:b/>
                <w:color w:val="9C0006"/>
                <w:sz w:val="19"/>
              </w:rPr>
              <w:t>12.5%</w:t>
            </w:r>
          </w:p>
        </w:tc>
        <w:tc>
          <w:tcPr>
            <w:tcW w:type="dxa" w:w="1872"/>
            <w:shd w:val="clear" w:fill="FFC7CE"/>
          </w:tcPr>
          <w:p>
            <w:pPr>
              <w:jc w:val="center"/>
            </w:pPr>
            <w:r/>
            <w:r>
              <w:rPr>
                <w:b/>
                <w:color w:val="9C0006"/>
                <w:sz w:val="19"/>
              </w:rPr>
              <w:t>2</w:t>
            </w:r>
          </w:p>
        </w:tc>
      </w:tr>
      <w:tr>
        <w:tc>
          <w:tcPr>
            <w:tcW w:type="dxa" w:w="2160"/>
            <w:shd w:val="clear" w:fill="FFC7CE"/>
          </w:tcPr>
          <w:p>
            <w:r/>
            <w:r>
              <w:rPr>
                <w:b/>
                <w:color w:val="9C0006"/>
                <w:sz w:val="19"/>
              </w:rPr>
              <w:t>Health Services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sz w:val="19"/>
              </w:rPr>
              <w:t>Clinical Services</w:t>
            </w:r>
          </w:p>
        </w:tc>
        <w:tc>
          <w:tcPr>
            <w:tcW w:type="dxa" w:w="1440"/>
            <w:shd w:val="clear" w:fill="FFC7CE"/>
          </w:tcPr>
          <w:p>
            <w:pPr>
              <w:jc w:val="center"/>
            </w:pPr>
            <w:r/>
            <w:r>
              <w:rPr>
                <w:b/>
                <w:color w:val="9C0006"/>
                <w:sz w:val="19"/>
              </w:rPr>
              <w:t>18.2%</w:t>
            </w:r>
          </w:p>
        </w:tc>
        <w:tc>
          <w:tcPr>
            <w:tcW w:type="dxa" w:w="1872"/>
            <w:shd w:val="clear" w:fill="FFC7CE"/>
          </w:tcPr>
          <w:p>
            <w:pPr>
              <w:jc w:val="center"/>
            </w:pPr>
            <w:r/>
            <w:r>
              <w:rPr>
                <w:b/>
                <w:color w:val="9C0006"/>
                <w:sz w:val="19"/>
              </w:rPr>
              <w:t>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sz w:val="19"/>
              </w:rPr>
              <w:t>Environmental Health</w:t>
            </w:r>
          </w:p>
        </w:tc>
        <w:tc>
          <w:tcPr>
            <w:tcW w:type="dxa" w:w="1440"/>
            <w:shd w:val="clear" w:fill="FFC7CE"/>
          </w:tcPr>
          <w:p>
            <w:pPr>
              <w:jc w:val="center"/>
            </w:pPr>
            <w:r/>
            <w:r>
              <w:rPr>
                <w:b/>
                <w:color w:val="9C0006"/>
                <w:sz w:val="19"/>
              </w:rPr>
              <w:t>13.6%</w:t>
            </w:r>
          </w:p>
        </w:tc>
        <w:tc>
          <w:tcPr>
            <w:tcW w:type="dxa" w:w="1872"/>
            <w:shd w:val="clear" w:fill="FFC7CE"/>
          </w:tcPr>
          <w:p>
            <w:pPr>
              <w:jc w:val="center"/>
            </w:pPr>
            <w:r/>
            <w:r>
              <w:rPr>
                <w:b/>
                <w:color w:val="9C0006"/>
                <w:sz w:val="19"/>
              </w:rPr>
              <w:t>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sz w:val="19"/>
              </w:rPr>
              <w:t>Community Outreach</w:t>
            </w:r>
          </w:p>
        </w:tc>
        <w:tc>
          <w:tcPr>
            <w:tcW w:type="dxa" w:w="1440"/>
            <w:shd w:val="clear" w:fill="FFC7CE"/>
          </w:tcPr>
          <w:p>
            <w:pPr>
              <w:jc w:val="center"/>
            </w:pPr>
            <w:r/>
            <w:r>
              <w:rPr>
                <w:b/>
                <w:color w:val="9C0006"/>
                <w:sz w:val="19"/>
              </w:rPr>
              <w:t>16.7%</w:t>
            </w:r>
          </w:p>
        </w:tc>
        <w:tc>
          <w:tcPr>
            <w:tcW w:type="dxa" w:w="1872"/>
            <w:shd w:val="clear" w:fill="FFC7CE"/>
          </w:tcPr>
          <w:p>
            <w:pPr>
              <w:jc w:val="center"/>
            </w:pPr>
            <w:r/>
            <w:r>
              <w:rPr>
                <w:b/>
                <w:color w:val="9C0006"/>
                <w:sz w:val="19"/>
              </w:rPr>
              <w:t>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sz w:val="19"/>
              </w:rPr>
              <w:t>Epidemiology &amp; Data</w:t>
            </w:r>
          </w:p>
        </w:tc>
        <w:tc>
          <w:tcPr>
            <w:tcW w:type="dxa" w:w="1440"/>
            <w:shd w:val="clear" w:fill="FFC7CE"/>
          </w:tcPr>
          <w:p>
            <w:pPr>
              <w:jc w:val="center"/>
            </w:pPr>
            <w:r/>
            <w:r>
              <w:rPr>
                <w:b/>
                <w:color w:val="9C0006"/>
                <w:sz w:val="19"/>
              </w:rPr>
              <w:t>16.7%</w:t>
            </w:r>
          </w:p>
        </w:tc>
        <w:tc>
          <w:tcPr>
            <w:tcW w:type="dxa" w:w="1872"/>
            <w:shd w:val="clear" w:fill="FFC7CE"/>
          </w:tcPr>
          <w:p>
            <w:pPr>
              <w:jc w:val="center"/>
            </w:pPr>
            <w:r/>
            <w:r>
              <w:rPr>
                <w:b/>
                <w:color w:val="9C0006"/>
                <w:sz w:val="19"/>
              </w:rPr>
              <w:t>2</w:t>
            </w:r>
          </w:p>
        </w:tc>
      </w:tr>
    </w:tbl>
    <w:p>
      <w:pPr>
        <w:spacing w:after="200"/>
      </w:pPr>
      <w:r>
        <w:rPr>
          <w:b w:val="0"/>
          <w:i/>
          <w:sz w:val="18"/>
        </w:rPr>
        <w:t>Table 4. Divisions above the 12% vacancy trigger - centralized hiring scope [S1]. All values breach the trigger (shown in red).</w:t>
      </w:r>
    </w:p>
    <w:p>
      <w:pPr>
        <w:pStyle w:val="Heading2"/>
      </w:pPr>
      <w:r>
        <w:t>6.2 Mechanics and quantified costs/benefits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2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Ref</w:t>
            </w:r>
          </w:p>
        </w:tc>
        <w:tc>
          <w:tcPr>
            <w:tcW w:type="dxa" w:w="2736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32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Basis</w:t>
            </w:r>
          </w:p>
        </w:tc>
        <w:tc>
          <w:tcPr>
            <w:tcW w:type="dxa" w:w="158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Amount (annual)</w:t>
            </w:r>
          </w:p>
        </w:tc>
        <w:tc>
          <w:tcPr>
            <w:tcW w:type="dxa" w:w="1296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One-time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B1</w:t>
            </w:r>
          </w:p>
        </w:tc>
        <w:tc>
          <w:tcPr>
            <w:tcW w:type="dxa" w:w="2736"/>
          </w:tcPr>
          <w:p>
            <w:pPr>
              <w:jc w:val="center"/>
            </w:pPr>
            <w:r/>
            <w:r>
              <w:rPr>
                <w:sz w:val="19"/>
              </w:rPr>
              <w:t>Cross-training pool (19 field staff)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10% of filled field crews across Sanitation, Transportation, Parks; $2,000/trainee + $500/yr maintenance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19"/>
              </w:rPr>
              <w:t>($9,500)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19"/>
              </w:rPr>
              <w:t>($38,000)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B2a</w:t>
            </w:r>
          </w:p>
        </w:tc>
        <w:tc>
          <w:tcPr>
            <w:tcW w:type="dxa" w:w="2736"/>
          </w:tcPr>
          <w:p>
            <w:pPr>
              <w:jc w:val="center"/>
            </w:pPr>
            <w:r/>
            <w:r>
              <w:rPr>
                <w:sz w:val="19"/>
              </w:rPr>
              <w:t>Shared OT budget + cap - Fire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40% reduction of OT above the 10% threshold (excess 13,618 h x $48.00/h = $653,664)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19"/>
              </w:rPr>
              <w:t>$261,466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19"/>
              </w:rPr>
              <w:t>-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B2b</w:t>
            </w:r>
          </w:p>
        </w:tc>
        <w:tc>
          <w:tcPr>
            <w:tcW w:type="dxa" w:w="2736"/>
          </w:tcPr>
          <w:p>
            <w:pPr>
              <w:jc w:val="center"/>
            </w:pPr>
            <w:r/>
            <w:r>
              <w:rPr>
                <w:sz w:val="19"/>
              </w:rPr>
              <w:t>Pooled OT approval - other departments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10% reduction of non-Fire OT cost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19"/>
              </w:rPr>
              <w:t>$226,921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19"/>
              </w:rPr>
              <w:t>-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B3a</w:t>
            </w:r>
          </w:p>
        </w:tc>
        <w:tc>
          <w:tcPr>
            <w:tcW w:type="dxa" w:w="2736"/>
          </w:tcPr>
          <w:p>
            <w:pPr>
              <w:jc w:val="center"/>
            </w:pPr>
            <w:r/>
            <w:r>
              <w:rPr>
                <w:sz w:val="19"/>
              </w:rPr>
              <w:t>Centralized hiring team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3 HR FTE at $65,000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19"/>
              </w:rPr>
              <w:t>($195,000)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19"/>
              </w:rPr>
              <w:t>-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B3b</w:t>
            </w:r>
          </w:p>
        </w:tc>
        <w:tc>
          <w:tcPr>
            <w:tcW w:type="dxa" w:w="2736"/>
          </w:tcPr>
          <w:p>
            <w:pPr>
              <w:jc w:val="center"/>
            </w:pPr>
            <w:r/>
            <w:r>
              <w:rPr>
                <w:sz w:val="19"/>
              </w:rPr>
              <w:t>Funded backfill of triggered vacancies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60% of 36 vacancies filled Year 1: Transportation 12 @ $48,647 wavg; Health Services 10 @ $60,439 wavg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19"/>
              </w:rPr>
              <w:t>($1,188,156)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19"/>
              </w:rPr>
              <w:t>($55,000)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B3c</w:t>
            </w:r>
          </w:p>
        </w:tc>
        <w:tc>
          <w:tcPr>
            <w:tcW w:type="dxa" w:w="2736"/>
          </w:tcPr>
          <w:p>
            <w:pPr>
              <w:jc w:val="center"/>
            </w:pPr>
            <w:r/>
            <w:r>
              <w:rPr>
                <w:sz w:val="19"/>
              </w:rPr>
              <w:t>OT displacement from restored capacity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22 backfilled positions x ~300 OT hours at $34.75/h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19"/>
              </w:rPr>
              <w:t>$229,350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19"/>
              </w:rPr>
              <w:t>-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736"/>
          </w:tcPr>
          <w:p>
            <w:pPr>
              <w:jc w:val="center"/>
            </w:pPr>
            <w:r/>
            <w:r>
              <w:rPr>
                <w:sz w:val="19"/>
              </w:rPr>
              <w:t>Net recurring impact (Year 2)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savings $717,736 less recurring cost $1,392,656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19"/>
              </w:rPr>
              <w:t>$-674,920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19"/>
              </w:rPr>
            </w:r>
          </w:p>
        </w:tc>
      </w:tr>
    </w:tbl>
    <w:p>
      <w:pPr>
        <w:spacing w:after="200"/>
      </w:pPr>
      <w:r>
        <w:rPr>
          <w:b w:val="0"/>
          <w:i/>
          <w:sz w:val="18"/>
        </w:rPr>
        <w:t>Table 5. Proposal B cost/benefit model [S1]. Parenthesized amounts are costs. Net Year 1: -$532,710 (50% savings ramp; full hiring and training cost).</w:t>
      </w:r>
    </w:p>
    <w:p>
      <w:pPr>
        <w:spacing w:after="120"/>
      </w:pPr>
      <w:r>
        <w:rPr>
          <w:b w:val="0"/>
          <w:i w:val="0"/>
          <w:sz w:val="21"/>
        </w:rPr>
        <w:t>The B interventions put 44 FTE into motion (19 cross-trained, 22 backfills, 3 HR) - zero positions eliminated - and are projected to lift the 8 below-target processes by an average of +8.0 on-time points and cut citywide vacancy from 9.1% to approximately 5.4% (22 of 54 vacancies filled). This aligns with the NYC evidence base: DCAS hiring-pipeline investment demonstrably moved vacancy and overtime together [S5].</w:t>
      </w:r>
    </w:p>
    <w:p>
      <w:pPr>
        <w:pStyle w:val="Heading2"/>
      </w:pPr>
      <w:r>
        <w:t>6.3 SLA impact and workforce feasibility</w:t>
      </w:r>
    </w:p>
    <w:p>
      <w:pPr>
        <w:pStyle w:val="ListBullet"/>
        <w:spacing w:after="60"/>
      </w:pPr>
      <w:r>
        <w:rPr>
          <w:b/>
        </w:rPr>
        <w:t xml:space="preserve">SLA impact: </w:t>
      </w:r>
      <w:r>
        <w:t>Direct and measurable: every failing process sits in a triggered division (Illegal Dumping 54.2% - Sanitation OT pool; Street Resurfacing 48.3% and Sidewalk Repair 61.7% - Road Maintenance backfill; Environmental Complaint 64.1% - Clinical/Env Health backfill). The +8.0-point projection assumes hiring yield consistent with NYC DCAS post-reform throughput.</w:t>
      </w:r>
    </w:p>
    <w:p>
      <w:pPr>
        <w:pStyle w:val="ListBullet"/>
        <w:spacing w:after="60"/>
      </w:pPr>
      <w:r>
        <w:rPr>
          <w:b/>
        </w:rPr>
        <w:t xml:space="preserve">Workforce feasibility: </w:t>
      </w:r>
      <w:r>
        <w:t>No layoffs and no title merges; the principal dependency is the labor market itself. Health Services positions ($60,439 weighted average) may require recruitment incentives not modeled here - a downside risk of roughly $50-80K if sign-on bonuses prove necessary.</w:t>
      </w:r>
    </w:p>
    <w:p>
      <w:pPr>
        <w:pStyle w:val="ListBullet"/>
        <w:spacing w:after="60"/>
      </w:pPr>
      <w:r>
        <w:rPr>
          <w:b/>
        </w:rPr>
        <w:t xml:space="preserve">Verdict: </w:t>
      </w:r>
      <w:r>
        <w:t>Net cost, not saving: $-674,920 in Year 2 ($-532,710 in Year 1). The proposal buys a service recovery and a vacancy reset for roughly 1.1% of the five-department compensation base. Scorecard: savings 2, SLA 5, FTE agility 4, complexity 2, risk 2 - weighted 3.70.</w:t>
      </w:r>
    </w:p>
    <w:p>
      <w:pPr>
        <w:pStyle w:val="Heading1"/>
      </w:pPr>
      <w:r>
        <w:t>7. Comparative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456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1008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Weight</w:t>
            </w:r>
          </w:p>
        </w:tc>
        <w:tc>
          <w:tcPr>
            <w:tcW w:type="dxa" w:w="1728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A: Consolidate</w:t>
            </w:r>
          </w:p>
        </w:tc>
        <w:tc>
          <w:tcPr>
            <w:tcW w:type="dxa" w:w="1728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B: Targeted Fix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Hybrid (recommended)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Annual cost savings (recurring)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sz w:val="19"/>
              </w:rPr>
              <w:t>30%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Projected SLA improvement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sz w:val="19"/>
              </w:rPr>
              <w:t>30%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FTE agility (touched/redeployed)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sz w:val="19"/>
              </w:rPr>
              <w:t>10%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Implementation complexity (1 = low)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sz w:val="19"/>
              </w:rPr>
              <w:t>15%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Execution risk (1 = low)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sz w:val="19"/>
              </w:rPr>
              <w:t>15%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3456"/>
            <w:shd w:val="clear" w:fill="FFC7CE"/>
          </w:tcPr>
          <w:p>
            <w:r/>
            <w:r>
              <w:rPr>
                <w:b/>
                <w:color w:val="9C0006"/>
                <w:sz w:val="19"/>
              </w:rPr>
              <w:t>WEIGHTED SCORE</w:t>
            </w:r>
          </w:p>
        </w:tc>
        <w:tc>
          <w:tcPr>
            <w:tcW w:type="dxa" w:w="1008"/>
            <w:shd w:val="clear" w:fill="FFC7CE"/>
          </w:tcPr>
          <w:p>
            <w:pPr>
              <w:jc w:val="center"/>
            </w:pPr>
            <w:r/>
            <w:r>
              <w:rPr>
                <w:b/>
                <w:color w:val="9C0006"/>
                <w:sz w:val="19"/>
              </w:rPr>
              <w:t>100%</w:t>
            </w:r>
          </w:p>
        </w:tc>
        <w:tc>
          <w:tcPr>
            <w:tcW w:type="dxa" w:w="1728"/>
            <w:shd w:val="clear" w:fill="FFC7CE"/>
          </w:tcPr>
          <w:p>
            <w:pPr>
              <w:jc w:val="center"/>
            </w:pPr>
            <w:r/>
            <w:r>
              <w:rPr>
                <w:b/>
                <w:color w:val="9C0006"/>
                <w:sz w:val="19"/>
              </w:rPr>
              <w:t>3.00</w:t>
            </w:r>
          </w:p>
        </w:tc>
        <w:tc>
          <w:tcPr>
            <w:tcW w:type="dxa" w:w="1728"/>
            <w:shd w:val="clear" w:fill="FFC7CE"/>
          </w:tcPr>
          <w:p>
            <w:pPr>
              <w:jc w:val="center"/>
            </w:pPr>
            <w:r/>
            <w:r>
              <w:rPr>
                <w:b/>
                <w:color w:val="9C0006"/>
                <w:sz w:val="19"/>
              </w:rPr>
              <w:t>3.70</w:t>
            </w:r>
          </w:p>
        </w:tc>
        <w:tc>
          <w:tcPr>
            <w:tcW w:type="dxa" w:w="2160"/>
            <w:shd w:val="clear" w:fill="FFC7CE"/>
          </w:tcPr>
          <w:p>
            <w:pPr>
              <w:jc w:val="center"/>
            </w:pPr>
            <w:r/>
            <w:r>
              <w:rPr>
                <w:b/>
                <w:color w:val="9C0006"/>
                <w:sz w:val="19"/>
              </w:rPr>
              <w:t>4.30</w:t>
            </w:r>
          </w:p>
        </w:tc>
      </w:tr>
    </w:tbl>
    <w:p>
      <w:pPr>
        <w:spacing w:after="200"/>
      </w:pPr>
      <w:r>
        <w:rPr>
          <w:b w:val="0"/>
          <w:i/>
          <w:sz w:val="18"/>
        </w:rPr>
        <w:t>Table 6. Council scorecard (5 = best). Weights per Council guidance: savings and service outcomes 30% each; FTE agility 10%; complexity and risk 15% each.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016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Proposal A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Proposal B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Hybrid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Recurring annual savings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19"/>
              </w:rPr>
              <w:t>$1,385,135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</w:rPr>
              <w:t>$717,736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</w:rPr>
              <w:t>$977,825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Recurring annual cost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</w:rPr>
              <w:t>$1,392,656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</w:rPr>
              <w:t>$1,392,656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Net Year 1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19"/>
              </w:rPr>
              <w:t>$-207,433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</w:rPr>
              <w:t>$-532,710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</w:rPr>
              <w:t>$-702,666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Net Year 2 (steady state)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19"/>
              </w:rPr>
              <w:t>$1,085,135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</w:rPr>
              <w:t>$-674,920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</w:rPr>
              <w:t>$-414,831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Positions eliminated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19"/>
              </w:rPr>
              <w:t>25 (attrition)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FTE touched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19"/>
              </w:rPr>
              <w:t>25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</w:rPr>
              <w:t>44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</w:rPr>
              <w:t>47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Projected on-time improvement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19"/>
              </w:rPr>
              <w:t>+1.0 pt (indirect)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</w:rPr>
              <w:t>+8.0 pts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</w:rPr>
              <w:t>+8.0 pts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Citywide vacancy effect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19"/>
              </w:rPr>
              <w:t>None (9.1%)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</w:rPr>
              <w:t>9.1% -&gt; ~5.4%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</w:rPr>
              <w:t>9.1% -&gt; ~5.4%</w:t>
            </w:r>
          </w:p>
        </w:tc>
      </w:tr>
    </w:tbl>
    <w:p>
      <w:pPr>
        <w:spacing w:after="200"/>
      </w:pPr>
      <w:r>
        <w:rPr>
          <w:b w:val="0"/>
          <w:i/>
          <w:sz w:val="18"/>
        </w:rPr>
        <w:t>Table 7. Financial and operational comparison. Hybrid = Proposal B now + shared fleet services from Proposal A (no merger); fleet component worth $260,088/yr (A2a $156,900 staffing + A2b $103,188 OT).</w:t>
      </w:r>
    </w:p>
    <w:p>
      <w:pPr>
        <w:pStyle w:val="Heading1"/>
      </w:pPr>
      <w:r>
        <w:t>8. Recommendation</w:t>
      </w:r>
    </w:p>
    <w:p>
      <w:pPr>
        <w:spacing w:after="120"/>
      </w:pPr>
      <w:r>
        <w:rPr>
          <w:b w:val="0"/>
          <w:i w:val="0"/>
          <w:sz w:val="21"/>
        </w:rPr>
        <w:t>Adopt the hybrid strategy. Neither pure option survives contact with both Council objectives (fiscal relief and service recovery): Proposal A saves money but leaves every failing process failing and carries the highest transition risk; Proposal B fixes the services but never pays for itself. The hybrid takes B's targeted interventions now and adds only the component of A that does not require a merger - shared fleet services - worth $260,088 per year.</w:t>
      </w:r>
    </w:p>
    <w:p>
      <w:pPr>
        <w:pStyle w:val="ListBullet"/>
        <w:spacing w:after="60"/>
      </w:pPr>
      <w:r>
        <w:rPr>
          <w:b/>
        </w:rPr>
        <w:t xml:space="preserve">Phase 1 (Months 0-12): </w:t>
      </w:r>
      <w:r>
        <w:t>Approve Proposal B interventions: cross-training pool (19 staff, $38,000 one-time), Fire shared OT budget with cap, pooled OT approval elsewhere, centralized hiring team (3 FTE) with funded backfill of 22 triggered vacancies. Implementation window: 12 months.</w:t>
      </w:r>
    </w:p>
    <w:p>
      <w:pPr>
        <w:pStyle w:val="ListBullet"/>
        <w:spacing w:after="60"/>
      </w:pPr>
      <w:r>
        <w:rPr>
          <w:b/>
        </w:rPr>
        <w:t xml:space="preserve">Phase 2 (Months 12-24): </w:t>
      </w:r>
      <w:r>
        <w:t>Stand up the joint Public Works fleet-maintenance shop as a shared service (3 positions absorbed, 8% fleet OT reduction). Re-evaluate full consolidation only if citywide vacancy remains above 8% after Phase 1.</w:t>
      </w:r>
    </w:p>
    <w:p>
      <w:pPr>
        <w:pStyle w:val="ListBullet"/>
        <w:spacing w:after="60"/>
      </w:pPr>
      <w:r>
        <w:rPr>
          <w:b/>
        </w:rPr>
        <w:t xml:space="preserve">Monitoring: </w:t>
      </w:r>
      <w:r>
        <w:t>Quarterly dashboard against the three red-line thresholds used in this analysis - vacancy &gt;12% (division), OT &gt;10% (department-month), on-time &lt;65% (process) - plus 311 resolution days and satisfaction. Expected steady-state position: 8 failing processes reduced to ~2-3, citywide vacancy ~5.4%, OT near 8.5% of regular hours, net fiscal impact -$414,831/yr against a $4.35M OT baseline.</w:t>
      </w:r>
    </w:p>
    <w:p>
      <w:pPr>
        <w:pStyle w:val="Heading1"/>
      </w:pPr>
      <w:r>
        <w:t>9. Assumptions and Limitations</w:t>
      </w:r>
    </w:p>
    <w:p>
      <w:pPr>
        <w:pStyle w:val="ListBullet"/>
        <w:spacing w:after="60"/>
      </w:pPr>
      <w:r>
        <w:rPr>
          <w:b/>
        </w:rPr>
        <w:t xml:space="preserve">Data basis: </w:t>
      </w:r>
      <w:r>
        <w:t>Salary, overtime, and process metrics derive from the FY2024 staffing/overtime workbook; 311 outcomes from the FY2024 service-request file (500 requests, 437 closed). [S1][S2]</w:t>
      </w:r>
    </w:p>
    <w:p>
      <w:pPr>
        <w:pStyle w:val="ListBullet"/>
        <w:spacing w:after="60"/>
      </w:pPr>
      <w:r>
        <w:rPr>
          <w:b/>
        </w:rPr>
        <w:t xml:space="preserve">Model assumptions: </w:t>
      </w:r>
      <w:r>
        <w:t>A1-A4 and B1-B3 parameter values (4% admin reduction, 20% fleet absorption, 8%/5% OT reductions, 10% pool size, 40%/10% OT cuts, 60% backfill ratio, $2,000 training, $65,000 HR salaries, $2,500 per recruitment) are analyst estimates held constant across options and documented in the workbook "Assumptions &amp; Sources" tab.</w:t>
      </w:r>
    </w:p>
    <w:p>
      <w:pPr>
        <w:pStyle w:val="ListBullet"/>
        <w:spacing w:after="60"/>
      </w:pPr>
      <w:r>
        <w:rPr>
          <w:b/>
        </w:rPr>
        <w:t xml:space="preserve">Benchmark caveat: </w:t>
      </w:r>
      <w:r>
        <w:t>NYC is a scale benchmark, not a peer: NYC per-employee budgets cover broader service scopes; the 14.5-22.6% ratios indicate relative compensation position only. [S3][S5]</w:t>
      </w:r>
    </w:p>
    <w:p>
      <w:pPr>
        <w:pStyle w:val="ListBullet"/>
        <w:spacing w:after="60"/>
      </w:pPr>
      <w:r>
        <w:rPr>
          <w:b/>
        </w:rPr>
        <w:t xml:space="preserve">Not modeled: </w:t>
      </w:r>
      <w:r>
        <w:t>No labor-market elasticity modeled; no capital costs; attrition timing treated as uniform over 24 months; inflation ignored (both options evaluated in constant FY2024 dollars).</w:t>
      </w:r>
    </w:p>
    <w:p>
      <w:pPr>
        <w:pStyle w:val="Heading1"/>
      </w:pPr>
      <w:r>
        <w:t>10. Risks and Mitigations (Recommended Hybrid)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74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Risk</w:t>
            </w:r>
          </w:p>
        </w:tc>
        <w:tc>
          <w:tcPr>
            <w:tcW w:type="dxa" w:w="158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Likelihood</w:t>
            </w:r>
          </w:p>
        </w:tc>
        <w:tc>
          <w:tcPr>
            <w:tcW w:type="dxa" w:w="432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Health Services backfill vacancies hard to fill at current wage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19"/>
              </w:rPr>
              <w:t>Medium-High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Recruitment incentive reserve (~$50-80K not in base model); prioritize Clinical Services (18.2% vacancy)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Fire OT cap meets union resistance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19"/>
              </w:rPr>
              <w:t>Medium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Cap applies to overtime above the 10% threshold, not to base staffing; negotiate scheduling flex first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Cross-trained pool dilutes specialty response times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19"/>
              </w:rPr>
              <w:t>Low-Medium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Pool limited to 10% of field crews; certification matrix reviewed quarterly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Hiring yield below the 60% Year-1 assumption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19"/>
              </w:rPr>
              <w:t>Medium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Trigger re-evaluation of Phase 2 consolidation if vacancy remains &gt;8% at Month 12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Fleet shop consolidation stalls on facility constraints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19"/>
              </w:rPr>
              <w:t>Low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Fleet savings ($260,088) excluded from Phase 1 commitments; treat as upside</w:t>
            </w:r>
          </w:p>
        </w:tc>
      </w:tr>
    </w:tbl>
    <w:p>
      <w:pPr>
        <w:pStyle w:val="Heading1"/>
      </w:pPr>
      <w:r>
        <w:t>Appendix A - Source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Tag</w:t>
            </w:r>
          </w:p>
        </w:tc>
        <w:tc>
          <w:tcPr>
            <w:tcW w:type="dxa" w:w="4176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4752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Used for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[S1]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sz w:val="19"/>
              </w:rPr>
              <w:t>Greenfield_Dept_Staffing_Overtime_FY2024.xlsx (Staffing_Summary; Monthly_Overtime; Process_Metrics)</w:t>
            </w:r>
          </w:p>
        </w:tc>
        <w:tc>
          <w:tcPr>
            <w:tcW w:type="dxa" w:w="4752"/>
          </w:tcPr>
          <w:p>
            <w:pPr>
              <w:jc w:val="center"/>
            </w:pPr>
            <w:r/>
            <w:r>
              <w:rPr>
                <w:sz w:val="19"/>
              </w:rPr>
              <w:t>All staffing, vacancy, turnover, overtime, and on-time process metrics; trigger screens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[S2]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sz w:val="19"/>
              </w:rPr>
              <w:t>Greenfield_311_Service_Requests_FY2024.csv (500 requests)</w:t>
            </w:r>
          </w:p>
        </w:tc>
        <w:tc>
          <w:tcPr>
            <w:tcW w:type="dxa" w:w="4752"/>
          </w:tcPr>
          <w:p>
            <w:pPr>
              <w:jc w:val="center"/>
            </w:pPr>
            <w:r/>
            <w:r>
              <w:rPr>
                <w:sz w:val="19"/>
              </w:rPr>
              <w:t>Resolution days, satisfaction, backlog aging, department service levels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[S3]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sz w:val="19"/>
              </w:rPr>
              <w:t>NYC_Expense_Budget_Selected.csv (FY2025 adopted)</w:t>
            </w:r>
          </w:p>
        </w:tc>
        <w:tc>
          <w:tcPr>
            <w:tcW w:type="dxa" w:w="4752"/>
          </w:tcPr>
          <w:p>
            <w:pPr>
              <w:jc w:val="center"/>
            </w:pPr>
            <w:r/>
            <w:r>
              <w:rPr>
                <w:sz w:val="19"/>
              </w:rPr>
              <w:t>Per-employee personnel-cost benchmarks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[S4]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sz w:val="19"/>
              </w:rPr>
              <w:t>NYC MMR indicators snapshot (dataset rbed-zzin, FY2026 citywide rows)</w:t>
            </w:r>
          </w:p>
        </w:tc>
        <w:tc>
          <w:tcPr>
            <w:tcW w:type="dxa" w:w="4752"/>
          </w:tcPr>
          <w:p>
            <w:pPr>
              <w:jc w:val="center"/>
            </w:pPr>
            <w:r/>
            <w:r>
              <w:rPr>
                <w:sz w:val="19"/>
              </w:rPr>
              <w:t>Service-standard targets: pothole close 98%; food SLA 90%; birth certificates 3 days; FDNY response 4.14/6.55 min; DPR memberships; DSNY recycling revenue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[S5]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sz w:val="19"/>
              </w:rPr>
              <w:t>NYS Comptroller, Report 2-2025, "2024 Update on NYC Staffing Trends" (May 2024)</w:t>
            </w:r>
          </w:p>
        </w:tc>
        <w:tc>
          <w:tcPr>
            <w:tcW w:type="dxa" w:w="4752"/>
          </w:tcPr>
          <w:p>
            <w:pPr>
              <w:jc w:val="center"/>
            </w:pPr>
            <w:r/>
            <w:r>
              <w:rPr>
                <w:sz w:val="19"/>
              </w:rPr>
              <w:t>Vacancy trend (5.1% Jan-2024 vs 2.0% pre-pandemic); attrition (48,864 peak); OT growth ($1.8B; 10.8% of payroll; FDNY 40.3%); DCAS pipeline metrics</w:t>
            </w:r>
          </w:p>
        </w:tc>
      </w:tr>
    </w:tbl>
    <w:p>
      <w:pPr>
        <w:spacing w:after="120"/>
      </w:pPr>
      <w:r>
        <w:rPr>
          <w:b w:val="0"/>
          <w:i/>
          <w:sz w:val="19"/>
        </w:rPr>
        <w:t>Companion deliverables: Greenfield_CostBenefit_Analysis.xlsx (four analysis tabs with red-line conditional formatting) and Greenfield_Council_Presentation.pptx (12 slides). All three documents draw on the same underlying model; figures are therefore identical across deliverables.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Decision Briefing Memo - Departmental Restructuring -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