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22"/>
        </w:rPr>
        <w:t>CITY OF GREENFIELD — OFFICE OF MANAGEMENT AND BUDGET</w:t>
      </w:r>
    </w:p>
    <w:p>
      <w:pPr>
        <w:spacing w:after="200"/>
      </w:pPr>
      <w:r>
        <w:rPr>
          <w:b/>
          <w:i w:val="0"/>
          <w:sz w:val="32"/>
        </w:rPr>
        <w:t>DECISION BRIEFING MEMORANDUM</w:t>
      </w:r>
    </w:p>
    <w:tbl>
      <w:tblPr>
        <w:tblStyle w:val="TableGrid"/>
        <w:tblW w:type="auto" w:w="0"/>
        <w:tblLook w:firstColumn="1" w:firstRow="1" w:lastColumn="0" w:lastRow="0" w:noHBand="0" w:noVBand="1" w:val="04A0"/>
      </w:tblPr>
      <w:tblGrid>
        <w:gridCol w:w="4680"/>
        <w:gridCol w:w="4680"/>
      </w:tblGrid>
      <w:tr>
        <w:tc>
          <w:tcPr>
            <w:tcW w:type="dxa" w:w="1152"/>
            <w:shd w:val="clear" w:fill="DDEBF7"/>
          </w:tcPr>
          <w:p>
            <w:pPr>
              <w:spacing w:after="0"/>
            </w:pPr>
            <w:r/>
            <w:r>
              <w:rPr>
                <w:b/>
                <w:i w:val="0"/>
                <w:sz w:val="19"/>
              </w:rPr>
              <w:t>TO:</w:t>
            </w:r>
          </w:p>
        </w:tc>
        <w:tc>
          <w:tcPr>
            <w:tcW w:type="dxa" w:w="8496"/>
          </w:tcPr>
          <w:p>
            <w:pPr>
              <w:spacing w:after="0"/>
            </w:pPr>
            <w:r/>
            <w:r>
              <w:rPr>
                <w:b w:val="0"/>
                <w:i w:val="0"/>
                <w:sz w:val="19"/>
              </w:rPr>
              <w:t>Members of the City Council, City of Greenfield</w:t>
            </w:r>
          </w:p>
        </w:tc>
      </w:tr>
      <w:tr>
        <w:tc>
          <w:tcPr>
            <w:tcW w:type="dxa" w:w="1152"/>
            <w:shd w:val="clear" w:fill="DDEBF7"/>
          </w:tcPr>
          <w:p>
            <w:pPr>
              <w:spacing w:after="0"/>
            </w:pPr>
            <w:r/>
            <w:r>
              <w:rPr>
                <w:b/>
                <w:i w:val="0"/>
                <w:sz w:val="19"/>
              </w:rPr>
              <w:t>FROM:</w:t>
            </w:r>
          </w:p>
        </w:tc>
        <w:tc>
          <w:tcPr>
            <w:tcW w:type="dxa" w:w="8496"/>
          </w:tcPr>
          <w:p>
            <w:pPr>
              <w:spacing w:after="0"/>
            </w:pPr>
            <w:r/>
            <w:r>
              <w:rPr>
                <w:b w:val="0"/>
                <w:i w:val="0"/>
                <w:sz w:val="19"/>
              </w:rPr>
              <w:t>Management Analysis Unit, Office of Management and Budget</w:t>
            </w:r>
          </w:p>
        </w:tc>
      </w:tr>
      <w:tr>
        <w:tc>
          <w:tcPr>
            <w:tcW w:type="dxa" w:w="1152"/>
            <w:shd w:val="clear" w:fill="DDEBF7"/>
          </w:tcPr>
          <w:p>
            <w:pPr>
              <w:spacing w:after="0"/>
            </w:pPr>
            <w:r/>
            <w:r>
              <w:rPr>
                <w:b/>
                <w:i w:val="0"/>
                <w:sz w:val="19"/>
              </w:rPr>
              <w:t>DATE:</w:t>
            </w:r>
          </w:p>
        </w:tc>
        <w:tc>
          <w:tcPr>
            <w:tcW w:type="dxa" w:w="8496"/>
          </w:tcPr>
          <w:p>
            <w:pPr>
              <w:spacing w:after="0"/>
            </w:pPr>
            <w:r/>
            <w:r>
              <w:rPr>
                <w:b w:val="0"/>
                <w:i w:val="0"/>
                <w:sz w:val="19"/>
              </w:rPr>
              <w:t>October 19, 2026</w:t>
            </w:r>
          </w:p>
        </w:tc>
      </w:tr>
      <w:tr>
        <w:tc>
          <w:tcPr>
            <w:tcW w:type="dxa" w:w="1152"/>
            <w:shd w:val="clear" w:fill="DDEBF7"/>
          </w:tcPr>
          <w:p>
            <w:pPr>
              <w:spacing w:after="0"/>
            </w:pPr>
            <w:r/>
            <w:r>
              <w:rPr>
                <w:b/>
                <w:i w:val="0"/>
                <w:sz w:val="19"/>
              </w:rPr>
              <w:t>RE:</w:t>
            </w:r>
          </w:p>
        </w:tc>
        <w:tc>
          <w:tcPr>
            <w:tcW w:type="dxa" w:w="8496"/>
          </w:tcPr>
          <w:p>
            <w:pPr>
              <w:spacing w:after="0"/>
            </w:pPr>
            <w:r/>
            <w:r>
              <w:rPr>
                <w:b w:val="0"/>
                <w:i w:val="0"/>
                <w:sz w:val="19"/>
              </w:rPr>
              <w:t>Departmental Restructuring Vote — Cost-Benefit Analysis of Proposal A ("Consolidate") and Proposal B ("Targeted Fix"), and Recommended Hybrid Approach</w:t>
            </w:r>
          </w:p>
        </w:tc>
      </w:tr>
    </w:tbl>
    <w:p/>
    <w:p>
      <w:pPr>
        <w:pStyle w:val="Heading1"/>
      </w:pPr>
      <w:r>
        <w:t>1. Purpose and Recommendation Summary</w:t>
      </w:r>
    </w:p>
    <w:p>
      <w:pPr>
        <w:spacing w:after="120"/>
      </w:pPr>
      <w:r>
        <w:rPr>
          <w:b w:val="0"/>
          <w:i w:val="0"/>
          <w:sz w:val="21"/>
        </w:rPr>
        <w:t>This memorandum presents the cost-benefit analysis supporting the Council’s upcoming vote on departmental restructuring. Two proposals were modeled in full against the FY2024 baseline:</w:t>
      </w:r>
    </w:p>
    <w:p>
      <w:pPr>
        <w:pStyle w:val="ListBullet"/>
        <w:spacing w:after="80"/>
      </w:pPr>
      <w:r>
        <w:rPr>
          <w:b/>
          <w:sz w:val="21"/>
        </w:rPr>
        <w:t xml:space="preserve">Proposal A ("Consolidate") — </w:t>
      </w:r>
      <w:r>
        <w:rPr>
          <w:sz w:val="21"/>
        </w:rPr>
        <w:t>merges Health Services and Parks &amp; Recreation into a Community Wellness department and Sanitation and Transportation into a Public Works department; the Fire Department remains standalone.</w:t>
      </w:r>
    </w:p>
    <w:p>
      <w:pPr>
        <w:pStyle w:val="ListBullet"/>
        <w:spacing w:after="80"/>
      </w:pPr>
      <w:r>
        <w:rPr>
          <w:b/>
          <w:sz w:val="21"/>
        </w:rPr>
        <w:t xml:space="preserve">Proposal B ("Targeted Fix") — </w:t>
      </w:r>
      <w:r>
        <w:rPr>
          <w:sz w:val="21"/>
        </w:rPr>
        <w:t>retains all five departments and adds a centralized hiring unit for high-vacancy divisions, 20 targeted hires plus 5 Fire position fills, a 40-person cross-training pool, and shared overtime budget authority for departments exceeding a 10% overtime-to-regular-hours threshold.</w:t>
      </w:r>
    </w:p>
    <w:p>
      <w:pPr>
        <w:spacing w:after="120"/>
      </w:pPr>
      <w:r>
        <w:rPr>
          <w:b/>
          <w:i w:val="0"/>
          <w:sz w:val="21"/>
        </w:rPr>
        <w:t>Recommended action: Adopt Proposal B as the primary operating framework, supplemented by (i) a voluntary Sanitation–Transportation "Shared Fleet &amp; Routing Compact" that captures the interdepartmental coordination benefit Proposal A sought through full merger, without the governance risk, and (ii) an automation triage program covering the eight manual processes that miss the 65% on-time threshold. A 12-month review gate returns results to the Council before FY2027 budget adoption.</w:t>
      </w:r>
    </w:p>
    <w:p>
      <w:pPr>
        <w:spacing w:after="120"/>
      </w:pPr>
      <w:r>
        <w:rPr>
          <w:b w:val="0"/>
          <w:i w:val="0"/>
          <w:sz w:val="21"/>
        </w:rPr>
        <w:t>Head-to-head, Proposal B produces marginally higher annual savings ($531,991 vs $517,954), nearly two-and-a-half times the service-delivery improvement (SLA lift +6.9 vs +2.9 points; below-threshold processes reduced from 8 to 3 versus 8 to 6), a lower implementation risk rating (2 vs 3 on a 5-point scale), and a materially larger workforce stabilization effect (27 FTE reallocated vs 4; citywide vacancy 9.1% → 4.9% vs 9.1% unchanged). A weighted net score (savings 25%, SLA improvement 30%, complexity 20%, risk 25%) yields 2.89 for B versus 1.81 for A. Proposal A’s advantages — higher Year-1 net cash ($108,977 vs $41,996) and a simpler three-department structure — are real but narrow, and they do not touch the two largest documented problems: the Fire Department’s structural overtime (47.9% of citywide OT spend) and the manual-process bottleneck behind every missed service standard.</w:t>
      </w:r>
    </w:p>
    <w:p>
      <w:pPr>
        <w:pStyle w:val="Heading1"/>
      </w:pPr>
      <w:r>
        <w:t>2. Situation Overview: Staffing Health and Service Outcomes</w:t>
      </w:r>
    </w:p>
    <w:p>
      <w:pPr>
        <w:pStyle w:val="Heading2"/>
      </w:pPr>
      <w:r>
        <w:t>2.1 Workforce position</w:t>
      </w:r>
    </w:p>
    <w:p>
      <w:pPr>
        <w:spacing w:after="120"/>
      </w:pPr>
      <w:r>
        <w:rPr>
          <w:b w:val="0"/>
          <w:i w:val="0"/>
          <w:sz w:val="21"/>
        </w:rPr>
        <w:t>Greenfield’s five operating departments are authorized for 596 positions; 542 are filled, leaving 54 vacancies (9.1%). Annual payroll is $28,389,900; overtime adds $4,354,518 (9.6% of 1,141,177 regular hours), for a total personnel cost of $32,744,418.</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800"/>
            <w:shd w:val="clear" w:fill="1F4E79"/>
          </w:tcPr>
          <w:p>
            <w:pPr>
              <w:spacing w:after="0"/>
              <w:jc w:val="center"/>
            </w:pPr>
            <w:r/>
            <w:r>
              <w:rPr>
                <w:b/>
                <w:i w:val="0"/>
                <w:color w:val="FFFFFF"/>
                <w:sz w:val="18"/>
              </w:rPr>
              <w:t>Department</w:t>
            </w:r>
          </w:p>
        </w:tc>
        <w:tc>
          <w:tcPr>
            <w:tcW w:type="dxa" w:w="1512"/>
            <w:shd w:val="clear" w:fill="1F4E79"/>
          </w:tcPr>
          <w:p>
            <w:pPr>
              <w:spacing w:after="0"/>
              <w:jc w:val="center"/>
            </w:pPr>
            <w:r/>
            <w:r>
              <w:rPr>
                <w:b/>
                <w:i w:val="0"/>
                <w:color w:val="FFFFFF"/>
                <w:sz w:val="18"/>
              </w:rPr>
              <w:t>Auth / Filled / Vac</w:t>
            </w:r>
          </w:p>
        </w:tc>
        <w:tc>
          <w:tcPr>
            <w:tcW w:type="dxa" w:w="893"/>
            <w:shd w:val="clear" w:fill="1F4E79"/>
          </w:tcPr>
          <w:p>
            <w:pPr>
              <w:spacing w:after="0"/>
              <w:jc w:val="center"/>
            </w:pPr>
            <w:r/>
            <w:r>
              <w:rPr>
                <w:b/>
                <w:i w:val="0"/>
                <w:color w:val="FFFFFF"/>
                <w:sz w:val="18"/>
              </w:rPr>
              <w:t>Vacancy</w:t>
            </w:r>
          </w:p>
        </w:tc>
        <w:tc>
          <w:tcPr>
            <w:tcW w:type="dxa" w:w="1368"/>
            <w:shd w:val="clear" w:fill="1F4E79"/>
          </w:tcPr>
          <w:p>
            <w:pPr>
              <w:spacing w:after="0"/>
              <w:jc w:val="center"/>
            </w:pPr>
            <w:r/>
            <w:r>
              <w:rPr>
                <w:b/>
                <w:i w:val="0"/>
                <w:color w:val="FFFFFF"/>
                <w:sz w:val="18"/>
              </w:rPr>
              <w:t>Payroll</w:t>
            </w:r>
          </w:p>
        </w:tc>
        <w:tc>
          <w:tcPr>
            <w:tcW w:type="dxa" w:w="1944"/>
            <w:shd w:val="clear" w:fill="1F4E79"/>
          </w:tcPr>
          <w:p>
            <w:pPr>
              <w:spacing w:after="0"/>
              <w:jc w:val="center"/>
            </w:pPr>
            <w:r/>
            <w:r>
              <w:rPr>
                <w:b/>
                <w:i w:val="0"/>
                <w:color w:val="FFFFFF"/>
                <w:sz w:val="18"/>
              </w:rPr>
              <w:t>OT $ (OT % of reg hrs)</w:t>
            </w:r>
          </w:p>
        </w:tc>
        <w:tc>
          <w:tcPr>
            <w:tcW w:type="dxa" w:w="936"/>
            <w:shd w:val="clear" w:fill="1F4E79"/>
          </w:tcPr>
          <w:p>
            <w:pPr>
              <w:spacing w:after="0"/>
              <w:jc w:val="center"/>
            </w:pPr>
            <w:r/>
            <w:r>
              <w:rPr>
                <w:b/>
                <w:i w:val="0"/>
                <w:color w:val="FFFFFF"/>
                <w:sz w:val="18"/>
              </w:rPr>
              <w:t>311 Avg Days</w:t>
            </w:r>
          </w:p>
        </w:tc>
        <w:tc>
          <w:tcPr>
            <w:tcW w:type="dxa" w:w="1037"/>
            <w:shd w:val="clear" w:fill="1F4E79"/>
          </w:tcPr>
          <w:p>
            <w:pPr>
              <w:spacing w:after="0"/>
              <w:jc w:val="center"/>
            </w:pPr>
            <w:r/>
            <w:r>
              <w:rPr>
                <w:b/>
                <w:i w:val="0"/>
                <w:color w:val="FFFFFF"/>
                <w:sz w:val="18"/>
              </w:rPr>
              <w:t>Satisfaction</w:t>
            </w:r>
          </w:p>
        </w:tc>
        <w:tc>
          <w:tcPr>
            <w:tcW w:type="dxa" w:w="2318"/>
            <w:shd w:val="clear" w:fill="1F4E79"/>
          </w:tcPr>
          <w:p>
            <w:pPr>
              <w:spacing w:after="0"/>
              <w:jc w:val="center"/>
            </w:pPr>
            <w:r/>
            <w:r>
              <w:rPr>
                <w:b/>
                <w:i w:val="0"/>
                <w:color w:val="FFFFFF"/>
                <w:sz w:val="18"/>
              </w:rPr>
              <w:t>Weakest Process (On-Time)</w:t>
            </w:r>
          </w:p>
        </w:tc>
      </w:tr>
      <w:tr>
        <w:tc>
          <w:tcPr>
            <w:tcW w:type="dxa" w:w="1800"/>
          </w:tcPr>
          <w:p>
            <w:pPr>
              <w:spacing w:after="0"/>
            </w:pPr>
            <w:r/>
            <w:r>
              <w:rPr>
                <w:b w:val="0"/>
                <w:i w:val="0"/>
                <w:sz w:val="18"/>
              </w:rPr>
              <w:t>Parks &amp; Recreation</w:t>
            </w:r>
          </w:p>
        </w:tc>
        <w:tc>
          <w:tcPr>
            <w:tcW w:type="dxa" w:w="1512"/>
          </w:tcPr>
          <w:p>
            <w:pPr>
              <w:spacing w:after="0"/>
              <w:jc w:val="center"/>
            </w:pPr>
            <w:r/>
            <w:r>
              <w:rPr>
                <w:b w:val="0"/>
                <w:i w:val="0"/>
                <w:sz w:val="18"/>
              </w:rPr>
              <w:t>116 / 110 / 6</w:t>
            </w:r>
          </w:p>
        </w:tc>
        <w:tc>
          <w:tcPr>
            <w:tcW w:type="dxa" w:w="893"/>
          </w:tcPr>
          <w:p>
            <w:pPr>
              <w:spacing w:after="0"/>
              <w:jc w:val="center"/>
            </w:pPr>
            <w:r/>
            <w:r>
              <w:rPr>
                <w:b w:val="0"/>
                <w:i w:val="0"/>
                <w:sz w:val="18"/>
              </w:rPr>
              <w:t>5.2%</w:t>
            </w:r>
          </w:p>
        </w:tc>
        <w:tc>
          <w:tcPr>
            <w:tcW w:type="dxa" w:w="1368"/>
          </w:tcPr>
          <w:p>
            <w:pPr>
              <w:spacing w:after="0"/>
              <w:jc w:val="center"/>
            </w:pPr>
            <w:r/>
            <w:r>
              <w:rPr>
                <w:b w:val="0"/>
                <w:i w:val="0"/>
                <w:sz w:val="18"/>
              </w:rPr>
              <w:t>$4,713,500</w:t>
            </w:r>
          </w:p>
        </w:tc>
        <w:tc>
          <w:tcPr>
            <w:tcW w:type="dxa" w:w="1944"/>
          </w:tcPr>
          <w:p>
            <w:pPr>
              <w:spacing w:after="0"/>
              <w:jc w:val="center"/>
            </w:pPr>
            <w:r/>
            <w:r>
              <w:rPr>
                <w:b w:val="0"/>
                <w:i w:val="0"/>
                <w:sz w:val="18"/>
              </w:rPr>
              <w:t>$453,960 (6.1%)</w:t>
            </w:r>
          </w:p>
        </w:tc>
        <w:tc>
          <w:tcPr>
            <w:tcW w:type="dxa" w:w="936"/>
          </w:tcPr>
          <w:p>
            <w:pPr>
              <w:spacing w:after="0"/>
              <w:jc w:val="center"/>
            </w:pPr>
            <w:r/>
            <w:r>
              <w:rPr>
                <w:b w:val="0"/>
                <w:i w:val="0"/>
                <w:sz w:val="18"/>
              </w:rPr>
              <w:t>12.5</w:t>
            </w:r>
          </w:p>
        </w:tc>
        <w:tc>
          <w:tcPr>
            <w:tcW w:type="dxa" w:w="1037"/>
          </w:tcPr>
          <w:p>
            <w:pPr>
              <w:spacing w:after="0"/>
              <w:jc w:val="center"/>
            </w:pPr>
            <w:r/>
            <w:r>
              <w:rPr>
                <w:b w:val="0"/>
                <w:i w:val="0"/>
                <w:sz w:val="18"/>
              </w:rPr>
              <w:t>3.55</w:t>
            </w:r>
          </w:p>
        </w:tc>
        <w:tc>
          <w:tcPr>
            <w:tcW w:type="dxa" w:w="2318"/>
          </w:tcPr>
          <w:p>
            <w:pPr>
              <w:spacing w:after="0"/>
              <w:jc w:val="center"/>
            </w:pPr>
            <w:r/>
            <w:r>
              <w:rPr>
                <w:b w:val="0"/>
                <w:i w:val="0"/>
                <w:sz w:val="18"/>
              </w:rPr>
              <w:t>Tree Removal Request (62.4%)</w:t>
            </w:r>
          </w:p>
        </w:tc>
      </w:tr>
      <w:tr>
        <w:tc>
          <w:tcPr>
            <w:tcW w:type="dxa" w:w="1800"/>
            <w:shd w:val="clear" w:fill="DDEBF7"/>
          </w:tcPr>
          <w:p>
            <w:pPr>
              <w:spacing w:after="0"/>
            </w:pPr>
            <w:r/>
            <w:r>
              <w:rPr>
                <w:b w:val="0"/>
                <w:i w:val="0"/>
                <w:sz w:val="18"/>
              </w:rPr>
              <w:t>Sanitation</w:t>
            </w:r>
          </w:p>
        </w:tc>
        <w:tc>
          <w:tcPr>
            <w:tcW w:type="dxa" w:w="1512"/>
            <w:shd w:val="clear" w:fill="DDEBF7"/>
          </w:tcPr>
          <w:p>
            <w:pPr>
              <w:spacing w:after="0"/>
              <w:jc w:val="center"/>
            </w:pPr>
            <w:r/>
            <w:r>
              <w:rPr>
                <w:b w:val="0"/>
                <w:i w:val="0"/>
                <w:sz w:val="18"/>
              </w:rPr>
              <w:t>108 / 101 / 7</w:t>
            </w:r>
          </w:p>
        </w:tc>
        <w:tc>
          <w:tcPr>
            <w:tcW w:type="dxa" w:w="893"/>
            <w:shd w:val="clear" w:fill="DDEBF7"/>
          </w:tcPr>
          <w:p>
            <w:pPr>
              <w:spacing w:after="0"/>
              <w:jc w:val="center"/>
            </w:pPr>
            <w:r/>
            <w:r>
              <w:rPr>
                <w:b w:val="0"/>
                <w:i w:val="0"/>
                <w:sz w:val="18"/>
              </w:rPr>
              <w:t>6.5%</w:t>
            </w:r>
          </w:p>
        </w:tc>
        <w:tc>
          <w:tcPr>
            <w:tcW w:type="dxa" w:w="1368"/>
            <w:shd w:val="clear" w:fill="DDEBF7"/>
          </w:tcPr>
          <w:p>
            <w:pPr>
              <w:spacing w:after="0"/>
              <w:jc w:val="center"/>
            </w:pPr>
            <w:r/>
            <w:r>
              <w:rPr>
                <w:b w:val="0"/>
                <w:i w:val="0"/>
                <w:sz w:val="18"/>
              </w:rPr>
              <w:t>$4,290,100</w:t>
            </w:r>
          </w:p>
        </w:tc>
        <w:tc>
          <w:tcPr>
            <w:tcW w:type="dxa" w:w="1944"/>
            <w:shd w:val="clear" w:fill="DDEBF7"/>
          </w:tcPr>
          <w:p>
            <w:pPr>
              <w:spacing w:after="0"/>
              <w:jc w:val="center"/>
            </w:pPr>
            <w:r/>
            <w:r>
              <w:rPr>
                <w:b w:val="0"/>
                <w:i w:val="0"/>
                <w:sz w:val="18"/>
              </w:rPr>
              <w:t>$646,877 (9.8%)</w:t>
            </w:r>
          </w:p>
        </w:tc>
        <w:tc>
          <w:tcPr>
            <w:tcW w:type="dxa" w:w="936"/>
            <w:shd w:val="clear" w:fill="DDEBF7"/>
          </w:tcPr>
          <w:p>
            <w:pPr>
              <w:spacing w:after="0"/>
              <w:jc w:val="center"/>
            </w:pPr>
            <w:r/>
            <w:r>
              <w:rPr>
                <w:b w:val="0"/>
                <w:i w:val="0"/>
                <w:sz w:val="18"/>
              </w:rPr>
              <w:t>9.0</w:t>
            </w:r>
          </w:p>
        </w:tc>
        <w:tc>
          <w:tcPr>
            <w:tcW w:type="dxa" w:w="1037"/>
            <w:shd w:val="clear" w:fill="DDEBF7"/>
          </w:tcPr>
          <w:p>
            <w:pPr>
              <w:spacing w:after="0"/>
              <w:jc w:val="center"/>
            </w:pPr>
            <w:r/>
            <w:r>
              <w:rPr>
                <w:b w:val="0"/>
                <w:i w:val="0"/>
                <w:sz w:val="18"/>
              </w:rPr>
              <w:t>3.64</w:t>
            </w:r>
          </w:p>
        </w:tc>
        <w:tc>
          <w:tcPr>
            <w:tcW w:type="dxa" w:w="2318"/>
            <w:shd w:val="clear" w:fill="DDEBF7"/>
          </w:tcPr>
          <w:p>
            <w:pPr>
              <w:spacing w:after="0"/>
              <w:jc w:val="center"/>
            </w:pPr>
            <w:r/>
            <w:r>
              <w:rPr>
                <w:b w:val="0"/>
                <w:i w:val="0"/>
                <w:sz w:val="18"/>
              </w:rPr>
              <w:t>Illegal Dumping Investigation (54.2%)</w:t>
            </w:r>
          </w:p>
        </w:tc>
      </w:tr>
      <w:tr>
        <w:tc>
          <w:tcPr>
            <w:tcW w:type="dxa" w:w="1800"/>
          </w:tcPr>
          <w:p>
            <w:pPr>
              <w:spacing w:after="0"/>
            </w:pPr>
            <w:r/>
            <w:r>
              <w:rPr>
                <w:b w:val="0"/>
                <w:i w:val="0"/>
                <w:sz w:val="18"/>
              </w:rPr>
              <w:t>Transportation</w:t>
            </w:r>
          </w:p>
        </w:tc>
        <w:tc>
          <w:tcPr>
            <w:tcW w:type="dxa" w:w="1512"/>
          </w:tcPr>
          <w:p>
            <w:pPr>
              <w:spacing w:after="0"/>
              <w:jc w:val="center"/>
            </w:pPr>
            <w:r/>
            <w:r>
              <w:rPr>
                <w:b w:val="0"/>
                <w:i w:val="0"/>
                <w:sz w:val="18"/>
              </w:rPr>
              <w:t>134 / 114 / 20</w:t>
            </w:r>
          </w:p>
        </w:tc>
        <w:tc>
          <w:tcPr>
            <w:tcW w:type="dxa" w:w="893"/>
            <w:shd w:val="clear" w:fill="FCE4E4"/>
          </w:tcPr>
          <w:p>
            <w:pPr>
              <w:spacing w:after="0"/>
              <w:jc w:val="center"/>
            </w:pPr>
            <w:r/>
            <w:r>
              <w:rPr>
                <w:b/>
                <w:i w:val="0"/>
                <w:color w:val="C00000"/>
                <w:sz w:val="18"/>
              </w:rPr>
              <w:t>14.9%</w:t>
            </w:r>
          </w:p>
        </w:tc>
        <w:tc>
          <w:tcPr>
            <w:tcW w:type="dxa" w:w="1368"/>
          </w:tcPr>
          <w:p>
            <w:pPr>
              <w:spacing w:after="0"/>
              <w:jc w:val="center"/>
            </w:pPr>
            <w:r/>
            <w:r>
              <w:rPr>
                <w:b w:val="0"/>
                <w:i w:val="0"/>
                <w:sz w:val="18"/>
              </w:rPr>
              <w:t>$5,545,800</w:t>
            </w:r>
          </w:p>
        </w:tc>
        <w:tc>
          <w:tcPr>
            <w:tcW w:type="dxa" w:w="1944"/>
          </w:tcPr>
          <w:p>
            <w:pPr>
              <w:spacing w:after="0"/>
              <w:jc w:val="center"/>
            </w:pPr>
            <w:r/>
            <w:r>
              <w:rPr>
                <w:b w:val="0"/>
                <w:i w:val="0"/>
                <w:sz w:val="18"/>
              </w:rPr>
              <w:t>$642,979 (8.4%)</w:t>
            </w:r>
          </w:p>
        </w:tc>
        <w:tc>
          <w:tcPr>
            <w:tcW w:type="dxa" w:w="936"/>
          </w:tcPr>
          <w:p>
            <w:pPr>
              <w:spacing w:after="0"/>
              <w:jc w:val="center"/>
            </w:pPr>
            <w:r/>
            <w:r>
              <w:rPr>
                <w:b w:val="0"/>
                <w:i w:val="0"/>
                <w:sz w:val="18"/>
              </w:rPr>
              <w:t>13.6</w:t>
            </w:r>
          </w:p>
        </w:tc>
        <w:tc>
          <w:tcPr>
            <w:tcW w:type="dxa" w:w="1037"/>
          </w:tcPr>
          <w:p>
            <w:pPr>
              <w:spacing w:after="0"/>
              <w:jc w:val="center"/>
            </w:pPr>
            <w:r/>
            <w:r>
              <w:rPr>
                <w:b w:val="0"/>
                <w:i w:val="0"/>
                <w:sz w:val="18"/>
              </w:rPr>
              <w:t>3.36</w:t>
            </w:r>
          </w:p>
        </w:tc>
        <w:tc>
          <w:tcPr>
            <w:tcW w:type="dxa" w:w="2318"/>
          </w:tcPr>
          <w:p>
            <w:pPr>
              <w:spacing w:after="0"/>
              <w:jc w:val="center"/>
            </w:pPr>
            <w:r/>
            <w:r>
              <w:rPr>
                <w:b w:val="0"/>
                <w:i w:val="0"/>
                <w:sz w:val="18"/>
              </w:rPr>
              <w:t>Street Resurfacing Project (48.3%)</w:t>
            </w:r>
          </w:p>
        </w:tc>
      </w:tr>
      <w:tr>
        <w:tc>
          <w:tcPr>
            <w:tcW w:type="dxa" w:w="1800"/>
            <w:shd w:val="clear" w:fill="DDEBF7"/>
          </w:tcPr>
          <w:p>
            <w:pPr>
              <w:spacing w:after="0"/>
            </w:pPr>
            <w:r/>
            <w:r>
              <w:rPr>
                <w:b w:val="0"/>
                <w:i w:val="0"/>
                <w:sz w:val="18"/>
              </w:rPr>
              <w:t>Health Services</w:t>
            </w:r>
          </w:p>
        </w:tc>
        <w:tc>
          <w:tcPr>
            <w:tcW w:type="dxa" w:w="1512"/>
            <w:shd w:val="clear" w:fill="DDEBF7"/>
          </w:tcPr>
          <w:p>
            <w:pPr>
              <w:spacing w:after="0"/>
              <w:jc w:val="center"/>
            </w:pPr>
            <w:r/>
            <w:r>
              <w:rPr>
                <w:b w:val="0"/>
                <w:i w:val="0"/>
                <w:sz w:val="18"/>
              </w:rPr>
              <w:t>96 / 80 / 16</w:t>
            </w:r>
          </w:p>
        </w:tc>
        <w:tc>
          <w:tcPr>
            <w:tcW w:type="dxa" w:w="893"/>
            <w:shd w:val="clear" w:fill="DDEBF7"/>
            <w:shd w:val="clear" w:fill="FCE4E4"/>
          </w:tcPr>
          <w:p>
            <w:pPr>
              <w:spacing w:after="0"/>
              <w:jc w:val="center"/>
            </w:pPr>
            <w:r/>
            <w:r>
              <w:rPr>
                <w:b/>
                <w:i w:val="0"/>
                <w:color w:val="C00000"/>
                <w:sz w:val="18"/>
              </w:rPr>
              <w:t>16.7%</w:t>
            </w:r>
          </w:p>
        </w:tc>
        <w:tc>
          <w:tcPr>
            <w:tcW w:type="dxa" w:w="1368"/>
            <w:shd w:val="clear" w:fill="DDEBF7"/>
          </w:tcPr>
          <w:p>
            <w:pPr>
              <w:spacing w:after="0"/>
              <w:jc w:val="center"/>
            </w:pPr>
            <w:r/>
            <w:r>
              <w:rPr>
                <w:b w:val="0"/>
                <w:i w:val="0"/>
                <w:sz w:val="18"/>
              </w:rPr>
              <w:t>$4,835,100</w:t>
            </w:r>
          </w:p>
        </w:tc>
        <w:tc>
          <w:tcPr>
            <w:tcW w:type="dxa" w:w="1944"/>
            <w:shd w:val="clear" w:fill="DDEBF7"/>
          </w:tcPr>
          <w:p>
            <w:pPr>
              <w:spacing w:after="0"/>
              <w:jc w:val="center"/>
            </w:pPr>
            <w:r/>
            <w:r>
              <w:rPr>
                <w:b w:val="0"/>
                <w:i w:val="0"/>
                <w:sz w:val="18"/>
              </w:rPr>
              <w:t>$525,390 (7.1%)</w:t>
            </w:r>
          </w:p>
        </w:tc>
        <w:tc>
          <w:tcPr>
            <w:tcW w:type="dxa" w:w="936"/>
            <w:shd w:val="clear" w:fill="DDEBF7"/>
          </w:tcPr>
          <w:p>
            <w:pPr>
              <w:spacing w:after="0"/>
              <w:jc w:val="center"/>
            </w:pPr>
            <w:r/>
            <w:r>
              <w:rPr>
                <w:b w:val="0"/>
                <w:i w:val="0"/>
                <w:sz w:val="18"/>
              </w:rPr>
              <w:t>12.0</w:t>
            </w:r>
          </w:p>
        </w:tc>
        <w:tc>
          <w:tcPr>
            <w:tcW w:type="dxa" w:w="1037"/>
            <w:shd w:val="clear" w:fill="DDEBF7"/>
          </w:tcPr>
          <w:p>
            <w:pPr>
              <w:spacing w:after="0"/>
              <w:jc w:val="center"/>
            </w:pPr>
            <w:r/>
            <w:r>
              <w:rPr>
                <w:b w:val="0"/>
                <w:i w:val="0"/>
                <w:sz w:val="18"/>
              </w:rPr>
              <w:t>3.72</w:t>
            </w:r>
          </w:p>
        </w:tc>
        <w:tc>
          <w:tcPr>
            <w:tcW w:type="dxa" w:w="2318"/>
            <w:shd w:val="clear" w:fill="DDEBF7"/>
          </w:tcPr>
          <w:p>
            <w:pPr>
              <w:spacing w:after="0"/>
              <w:jc w:val="center"/>
            </w:pPr>
            <w:r/>
            <w:r>
              <w:rPr>
                <w:b w:val="0"/>
                <w:i w:val="0"/>
                <w:sz w:val="18"/>
              </w:rPr>
              <w:t>Environmental Complaint Investigation (64.1%)</w:t>
            </w:r>
          </w:p>
        </w:tc>
      </w:tr>
      <w:tr>
        <w:tc>
          <w:tcPr>
            <w:tcW w:type="dxa" w:w="1800"/>
          </w:tcPr>
          <w:p>
            <w:pPr>
              <w:spacing w:after="0"/>
            </w:pPr>
            <w:r/>
            <w:r>
              <w:rPr>
                <w:b w:val="0"/>
                <w:i w:val="0"/>
                <w:sz w:val="18"/>
              </w:rPr>
              <w:t>Fire Department</w:t>
            </w:r>
          </w:p>
        </w:tc>
        <w:tc>
          <w:tcPr>
            <w:tcW w:type="dxa" w:w="1512"/>
          </w:tcPr>
          <w:p>
            <w:pPr>
              <w:spacing w:after="0"/>
              <w:jc w:val="center"/>
            </w:pPr>
            <w:r/>
            <w:r>
              <w:rPr>
                <w:b w:val="0"/>
                <w:i w:val="0"/>
                <w:sz w:val="18"/>
              </w:rPr>
              <w:t>142 / 137 / 5</w:t>
            </w:r>
          </w:p>
        </w:tc>
        <w:tc>
          <w:tcPr>
            <w:tcW w:type="dxa" w:w="893"/>
          </w:tcPr>
          <w:p>
            <w:pPr>
              <w:spacing w:after="0"/>
              <w:jc w:val="center"/>
            </w:pPr>
            <w:r/>
            <w:r>
              <w:rPr>
                <w:b w:val="0"/>
                <w:i w:val="0"/>
                <w:sz w:val="18"/>
              </w:rPr>
              <w:t>3.5%</w:t>
            </w:r>
          </w:p>
        </w:tc>
        <w:tc>
          <w:tcPr>
            <w:tcW w:type="dxa" w:w="1368"/>
          </w:tcPr>
          <w:p>
            <w:pPr>
              <w:spacing w:after="0"/>
              <w:jc w:val="center"/>
            </w:pPr>
            <w:r/>
            <w:r>
              <w:rPr>
                <w:b w:val="0"/>
                <w:i w:val="0"/>
                <w:sz w:val="18"/>
              </w:rPr>
              <w:t>$9,005,400</w:t>
            </w:r>
          </w:p>
        </w:tc>
        <w:tc>
          <w:tcPr>
            <w:tcW w:type="dxa" w:w="1944"/>
          </w:tcPr>
          <w:p>
            <w:pPr>
              <w:spacing w:after="0"/>
              <w:jc w:val="center"/>
            </w:pPr>
            <w:r/>
            <w:r>
              <w:rPr>
                <w:b w:val="0"/>
                <w:i w:val="0"/>
                <w:sz w:val="18"/>
              </w:rPr>
              <w:t>$2,085,312 (14.6%)</w:t>
            </w:r>
          </w:p>
        </w:tc>
        <w:tc>
          <w:tcPr>
            <w:tcW w:type="dxa" w:w="936"/>
          </w:tcPr>
          <w:p>
            <w:pPr>
              <w:spacing w:after="0"/>
              <w:jc w:val="center"/>
            </w:pPr>
            <w:r/>
            <w:r>
              <w:rPr>
                <w:b w:val="0"/>
                <w:i w:val="0"/>
                <w:sz w:val="18"/>
              </w:rPr>
              <w:t>3.8</w:t>
            </w:r>
          </w:p>
        </w:tc>
        <w:tc>
          <w:tcPr>
            <w:tcW w:type="dxa" w:w="1037"/>
          </w:tcPr>
          <w:p>
            <w:pPr>
              <w:spacing w:after="0"/>
              <w:jc w:val="center"/>
            </w:pPr>
            <w:r/>
            <w:r>
              <w:rPr>
                <w:b w:val="0"/>
                <w:i w:val="0"/>
                <w:sz w:val="18"/>
              </w:rPr>
              <w:t>4.23</w:t>
            </w:r>
          </w:p>
        </w:tc>
        <w:tc>
          <w:tcPr>
            <w:tcW w:type="dxa" w:w="2318"/>
          </w:tcPr>
          <w:p>
            <w:pPr>
              <w:spacing w:after="0"/>
              <w:jc w:val="center"/>
            </w:pPr>
            <w:r/>
            <w:r>
              <w:rPr>
                <w:b w:val="0"/>
                <w:i w:val="0"/>
                <w:sz w:val="18"/>
              </w:rPr>
              <w:t>Plan Review (New Construction) (59.6%)</w:t>
            </w:r>
          </w:p>
        </w:tc>
      </w:tr>
      <w:tr>
        <w:tc>
          <w:tcPr>
            <w:tcW w:type="dxa" w:w="1800"/>
            <w:shd w:val="clear" w:fill="DDEBF7"/>
          </w:tcPr>
          <w:p>
            <w:pPr>
              <w:spacing w:after="0"/>
            </w:pPr>
            <w:r/>
            <w:r>
              <w:rPr>
                <w:b w:val="0"/>
                <w:i w:val="0"/>
                <w:sz w:val="18"/>
              </w:rPr>
              <w:t>CITYWIDE</w:t>
            </w:r>
          </w:p>
        </w:tc>
        <w:tc>
          <w:tcPr>
            <w:tcW w:type="dxa" w:w="1512"/>
            <w:shd w:val="clear" w:fill="DDEBF7"/>
          </w:tcPr>
          <w:p>
            <w:pPr>
              <w:spacing w:after="0"/>
              <w:jc w:val="center"/>
            </w:pPr>
            <w:r/>
            <w:r>
              <w:rPr>
                <w:b w:val="0"/>
                <w:i w:val="0"/>
                <w:sz w:val="18"/>
              </w:rPr>
              <w:t>596 / 542 / 54</w:t>
            </w:r>
          </w:p>
        </w:tc>
        <w:tc>
          <w:tcPr>
            <w:tcW w:type="dxa" w:w="893"/>
            <w:shd w:val="clear" w:fill="DDEBF7"/>
          </w:tcPr>
          <w:p>
            <w:pPr>
              <w:spacing w:after="0"/>
              <w:jc w:val="center"/>
            </w:pPr>
            <w:r/>
            <w:r>
              <w:rPr>
                <w:b w:val="0"/>
                <w:i w:val="0"/>
                <w:sz w:val="18"/>
              </w:rPr>
              <w:t>9.1%</w:t>
            </w:r>
          </w:p>
        </w:tc>
        <w:tc>
          <w:tcPr>
            <w:tcW w:type="dxa" w:w="1368"/>
            <w:shd w:val="clear" w:fill="DDEBF7"/>
          </w:tcPr>
          <w:p>
            <w:pPr>
              <w:spacing w:after="0"/>
              <w:jc w:val="center"/>
            </w:pPr>
            <w:r/>
            <w:r>
              <w:rPr>
                <w:b w:val="0"/>
                <w:i w:val="0"/>
                <w:sz w:val="18"/>
              </w:rPr>
              <w:t>$28,389,900</w:t>
            </w:r>
          </w:p>
        </w:tc>
        <w:tc>
          <w:tcPr>
            <w:tcW w:type="dxa" w:w="1944"/>
            <w:shd w:val="clear" w:fill="DDEBF7"/>
          </w:tcPr>
          <w:p>
            <w:pPr>
              <w:spacing w:after="0"/>
              <w:jc w:val="center"/>
            </w:pPr>
            <w:r/>
            <w:r>
              <w:rPr>
                <w:b w:val="0"/>
                <w:i w:val="0"/>
                <w:sz w:val="18"/>
              </w:rPr>
              <w:t>$4,354,518 (9.6%)</w:t>
            </w:r>
          </w:p>
        </w:tc>
        <w:tc>
          <w:tcPr>
            <w:tcW w:type="dxa" w:w="936"/>
            <w:shd w:val="clear" w:fill="DDEBF7"/>
          </w:tcPr>
          <w:p>
            <w:pPr>
              <w:spacing w:after="0"/>
              <w:jc w:val="center"/>
            </w:pPr>
            <w:r/>
            <w:r>
              <w:rPr>
                <w:b w:val="0"/>
                <w:i w:val="0"/>
                <w:sz w:val="18"/>
              </w:rPr>
              <w:t>10.8</w:t>
            </w:r>
          </w:p>
        </w:tc>
        <w:tc>
          <w:tcPr>
            <w:tcW w:type="dxa" w:w="1037"/>
            <w:shd w:val="clear" w:fill="DDEBF7"/>
          </w:tcPr>
          <w:p>
            <w:pPr>
              <w:spacing w:after="0"/>
              <w:jc w:val="center"/>
            </w:pPr>
            <w:r/>
            <w:r>
              <w:rPr>
                <w:b w:val="0"/>
                <w:i w:val="0"/>
                <w:sz w:val="18"/>
              </w:rPr>
              <w:t>3.63</w:t>
            </w:r>
          </w:p>
        </w:tc>
        <w:tc>
          <w:tcPr>
            <w:tcW w:type="dxa" w:w="2318"/>
            <w:shd w:val="clear" w:fill="DDEBF7"/>
          </w:tcPr>
          <w:p>
            <w:pPr>
              <w:spacing w:after="0"/>
              <w:jc w:val="center"/>
            </w:pPr>
            <w:r/>
            <w:r>
              <w:rPr>
                <w:b w:val="0"/>
                <w:i w:val="0"/>
                <w:sz w:val="18"/>
              </w:rPr>
              <w:t>8 of 25 processes below 65% on-time</w:t>
            </w:r>
          </w:p>
        </w:tc>
      </w:tr>
    </w:tbl>
    <w:p>
      <w:pPr>
        <w:spacing w:before="40" w:after="160"/>
      </w:pPr>
      <w:r>
        <w:rPr>
          <w:i/>
          <w:color w:val="404040"/>
          <w:sz w:val="17"/>
        </w:rPr>
        <w:t>Table 1 — FY2024 department scorecard. Red flags: vacancy &gt; 12%, overtime &gt; 10% of regular hours, on-time &lt; 65%. Sources: Greenfield staffing and 311 FY2024 datasets.</w:t>
      </w:r>
    </w:p>
    <w:p>
      <w:pPr>
        <w:pStyle w:val="Heading2"/>
      </w:pPr>
      <w:r>
        <w:t>2.2 Vacancy is concentrated, not evenly distributed</w:t>
      </w:r>
    </w:p>
    <w:p>
      <w:pPr>
        <w:spacing w:after="120"/>
      </w:pPr>
      <w:r>
        <w:rPr>
          <w:b w:val="0"/>
          <w:i w:val="0"/>
          <w:sz w:val="21"/>
        </w:rPr>
        <w:t>All eight divisions above the 12% vacancy trigger are in Transportation (four divisions, 12.5–15.8%) and Health Services (four divisions, 13.6–18.2%). Together these divisions hold 230 authorized positions and 36 vacancies — a 15.7% division-level vacancy rate. Transportation’s departmental vacancy rate of 14.9% (turnover 19.9%, average tenure 6.0 years) and Health Services’ 16.7% (turnover 22.1%, tenure 4.9 years) are the direct drivers of the citywide 9.1%. Every other department is at or below 6.5%.</w:t>
      </w:r>
    </w:p>
    <w:p>
      <w:pPr>
        <w:pStyle w:val="Heading2"/>
      </w:pPr>
      <w:r>
        <w:t>2.3 Overtime is a Fire Department problem first — with complementary seasonal pressure elsewhere</w:t>
      </w:r>
    </w:p>
    <w:p>
      <w:pPr>
        <w:spacing w:after="120"/>
      </w:pPr>
      <w:r>
        <w:rPr>
          <w:b w:val="0"/>
          <w:i w:val="0"/>
          <w:sz w:val="21"/>
        </w:rPr>
        <w:t>The Fire Department accounts for 47.9% of citywide OT spend ($2,085,312 of $4,354,518) at the highest rate in the workforce ($48.00/hour) and exceeded the 10% OT-to-regular-hours threshold in all 12 months of FY2024 — a structural pattern, not a seasonal one. Sanitation sits on the watchlist: 9.8% annually but above 10% in four consecutive winter months, with 52.9% of its annual OT ($342,302) falling in November–March. Parks is the mirror image: 44.6% of its OT ($202,540) falls in May–August. The two seasonal cycles are complementary — staff cross-trained across Sanitation and Parks can absorb each other’s peaks, an argument for cross-training rather than merger.</w:t>
      </w:r>
    </w:p>
    <w:p>
      <w:pPr>
        <w:pStyle w:val="Heading2"/>
      </w:pPr>
      <w:r>
        <w:t>2.4 Service outcomes track staffing health</w:t>
      </w:r>
    </w:p>
    <w:p>
      <w:pPr>
        <w:spacing w:after="120"/>
      </w:pPr>
      <w:r>
        <w:rPr>
          <w:b w:val="0"/>
          <w:i w:val="0"/>
          <w:sz w:val="21"/>
        </w:rPr>
        <w:t>Of 500 FY2024 311 service requests, 437 are closed and 63 remain open. The weighted average resolution time is 10.8 days; 44 requests (10.1%) exceeded 30 days; weighted citizen satisfaction is 3.63 of 5.0. Transportation combines the worst response profile (13.6-day average; Street Resurfacing at a 45.2-day cycle against a 30-day target and 48.3% on-time) with the lowest satisfaction (3.36). Health Services’ high-priority requests average 13.9 days — the worst in the city for priority work. Fire, despite its overtime burden, delivers the best citizen-facing results (3.8-day average, 4.23 satisfaction), confirming the overtime is buying service continuity, not waste.</w:t>
      </w:r>
    </w:p>
    <w:p>
      <w:pPr>
        <w:spacing w:after="120"/>
      </w:pPr>
      <w:r>
        <w:rPr>
          <w:b w:val="0"/>
          <w:i w:val="0"/>
          <w:sz w:val="21"/>
        </w:rPr>
        <w:t>Eight of 25 mapped processes fall below the 65% on-time standard: Street Resurfacing Project (48.3%), Illegal Dumping Investigation (54.2%), Transit Route Change Request (55.1%), Bulk Pickup Request (58.1%), Plan Review (New Construction) (59.6%), Sidewalk Repair Request (61.7%), Tree Removal Request (62.4%), and Environmental Complaint Investigation (64.1%).</w:t>
      </w:r>
    </w:p>
    <w:p>
      <w:pPr>
        <w:pStyle w:val="Heading2"/>
      </w:pPr>
      <w:r>
        <w:t>2.5 The cross-cutting bottleneck is automation, not departmental structure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fill="1F4E79"/>
          </w:tcPr>
          <w:p>
            <w:pPr>
              <w:spacing w:after="0"/>
              <w:jc w:val="center"/>
            </w:pPr>
            <w:r/>
            <w:r>
              <w:rPr>
                <w:b/>
                <w:i w:val="0"/>
                <w:color w:val="FFFFFF"/>
                <w:sz w:val="18"/>
              </w:rPr>
              <w:t>Automation Level</w:t>
            </w:r>
          </w:p>
        </w:tc>
        <w:tc>
          <w:tcPr>
            <w:tcW w:type="dxa" w:w="1440"/>
            <w:shd w:val="clear" w:fill="1F4E79"/>
          </w:tcPr>
          <w:p>
            <w:pPr>
              <w:spacing w:after="0"/>
              <w:jc w:val="center"/>
            </w:pPr>
            <w:r/>
            <w:r>
              <w:rPr>
                <w:b/>
                <w:i w:val="0"/>
                <w:color w:val="FFFFFF"/>
                <w:sz w:val="18"/>
              </w:rPr>
              <w:t>Processes</w:t>
            </w:r>
          </w:p>
        </w:tc>
        <w:tc>
          <w:tcPr>
            <w:tcW w:type="dxa" w:w="1872"/>
            <w:shd w:val="clear" w:fill="1F4E79"/>
          </w:tcPr>
          <w:p>
            <w:pPr>
              <w:spacing w:after="0"/>
              <w:jc w:val="center"/>
            </w:pPr>
            <w:r/>
            <w:r>
              <w:rPr>
                <w:b/>
                <w:i w:val="0"/>
                <w:color w:val="FFFFFF"/>
                <w:sz w:val="18"/>
              </w:rPr>
              <w:t>Avg On-Time</w:t>
            </w:r>
          </w:p>
        </w:tc>
        <w:tc>
          <w:tcPr>
            <w:tcW w:type="dxa" w:w="2016"/>
            <w:shd w:val="clear" w:fill="1F4E79"/>
          </w:tcPr>
          <w:p>
            <w:pPr>
              <w:spacing w:after="0"/>
              <w:jc w:val="center"/>
            </w:pPr>
            <w:r/>
            <w:r>
              <w:rPr>
                <w:b/>
                <w:i w:val="0"/>
                <w:color w:val="FFFFFF"/>
                <w:sz w:val="18"/>
              </w:rPr>
              <w:t>Avg Error Rate</w:t>
            </w:r>
          </w:p>
        </w:tc>
        <w:tc>
          <w:tcPr>
            <w:tcW w:type="dxa" w:w="2160"/>
            <w:shd w:val="clear" w:fill="1F4E79"/>
          </w:tcPr>
          <w:p>
            <w:pPr>
              <w:spacing w:after="0"/>
              <w:jc w:val="center"/>
            </w:pPr>
            <w:r/>
            <w:r>
              <w:rPr>
                <w:b/>
                <w:i w:val="0"/>
                <w:color w:val="FFFFFF"/>
                <w:sz w:val="18"/>
              </w:rPr>
              <w:t>Avg Cycle Time</w:t>
            </w:r>
          </w:p>
        </w:tc>
      </w:tr>
      <w:tr>
        <w:tc>
          <w:tcPr>
            <w:tcW w:type="dxa" w:w="2304"/>
          </w:tcPr>
          <w:p>
            <w:pPr>
              <w:spacing w:after="0"/>
            </w:pPr>
            <w:r/>
            <w:r>
              <w:rPr>
                <w:b w:val="0"/>
                <w:i w:val="0"/>
                <w:sz w:val="18"/>
              </w:rPr>
              <w:t>Automated</w:t>
            </w:r>
          </w:p>
        </w:tc>
        <w:tc>
          <w:tcPr>
            <w:tcW w:type="dxa" w:w="1440"/>
          </w:tcPr>
          <w:p>
            <w:pPr>
              <w:spacing w:after="0"/>
              <w:jc w:val="center"/>
            </w:pPr>
            <w:r/>
            <w:r>
              <w:rPr>
                <w:b w:val="0"/>
                <w:i w:val="0"/>
                <w:sz w:val="18"/>
              </w:rPr>
              <w:t>3</w:t>
            </w:r>
          </w:p>
        </w:tc>
        <w:tc>
          <w:tcPr>
            <w:tcW w:type="dxa" w:w="1872"/>
          </w:tcPr>
          <w:p>
            <w:pPr>
              <w:spacing w:after="0"/>
              <w:jc w:val="center"/>
            </w:pPr>
            <w:r/>
            <w:r>
              <w:rPr>
                <w:b w:val="0"/>
                <w:i w:val="0"/>
                <w:sz w:val="18"/>
              </w:rPr>
              <w:t>94.8%</w:t>
            </w:r>
          </w:p>
        </w:tc>
        <w:tc>
          <w:tcPr>
            <w:tcW w:type="dxa" w:w="2016"/>
          </w:tcPr>
          <w:p>
            <w:pPr>
              <w:spacing w:after="0"/>
              <w:jc w:val="center"/>
            </w:pPr>
            <w:r/>
            <w:r>
              <w:rPr>
                <w:b w:val="0"/>
                <w:i w:val="0"/>
                <w:sz w:val="18"/>
              </w:rPr>
              <w:t>1.4%</w:t>
            </w:r>
          </w:p>
        </w:tc>
        <w:tc>
          <w:tcPr>
            <w:tcW w:type="dxa" w:w="2160"/>
          </w:tcPr>
          <w:p>
            <w:pPr>
              <w:spacing w:after="0"/>
              <w:jc w:val="center"/>
            </w:pPr>
            <w:r/>
            <w:r>
              <w:rPr>
                <w:b w:val="0"/>
                <w:i w:val="0"/>
                <w:sz w:val="18"/>
              </w:rPr>
              <w:t>1.1 days</w:t>
            </w:r>
          </w:p>
        </w:tc>
      </w:tr>
      <w:tr>
        <w:tc>
          <w:tcPr>
            <w:tcW w:type="dxa" w:w="2304"/>
            <w:shd w:val="clear" w:fill="DDEBF7"/>
          </w:tcPr>
          <w:p>
            <w:pPr>
              <w:spacing w:after="0"/>
            </w:pPr>
            <w:r/>
            <w:r>
              <w:rPr>
                <w:b w:val="0"/>
                <w:i w:val="0"/>
                <w:sz w:val="18"/>
              </w:rPr>
              <w:t>Semi-Automated</w:t>
            </w:r>
          </w:p>
        </w:tc>
        <w:tc>
          <w:tcPr>
            <w:tcW w:type="dxa" w:w="1440"/>
            <w:shd w:val="clear" w:fill="DDEBF7"/>
          </w:tcPr>
          <w:p>
            <w:pPr>
              <w:spacing w:after="0"/>
              <w:jc w:val="center"/>
            </w:pPr>
            <w:r/>
            <w:r>
              <w:rPr>
                <w:b w:val="0"/>
                <w:i w:val="0"/>
                <w:sz w:val="18"/>
              </w:rPr>
              <w:t>11</w:t>
            </w:r>
          </w:p>
        </w:tc>
        <w:tc>
          <w:tcPr>
            <w:tcW w:type="dxa" w:w="1872"/>
            <w:shd w:val="clear" w:fill="DDEBF7"/>
          </w:tcPr>
          <w:p>
            <w:pPr>
              <w:spacing w:after="0"/>
              <w:jc w:val="center"/>
            </w:pPr>
            <w:r/>
            <w:r>
              <w:rPr>
                <w:b w:val="0"/>
                <w:i w:val="0"/>
                <w:sz w:val="18"/>
              </w:rPr>
              <w:t>80.8%</w:t>
            </w:r>
          </w:p>
        </w:tc>
        <w:tc>
          <w:tcPr>
            <w:tcW w:type="dxa" w:w="2016"/>
            <w:shd w:val="clear" w:fill="DDEBF7"/>
          </w:tcPr>
          <w:p>
            <w:pPr>
              <w:spacing w:after="0"/>
              <w:jc w:val="center"/>
            </w:pPr>
            <w:r/>
            <w:r>
              <w:rPr>
                <w:b w:val="0"/>
                <w:i w:val="0"/>
                <w:sz w:val="18"/>
              </w:rPr>
              <w:t>3.7%</w:t>
            </w:r>
          </w:p>
        </w:tc>
        <w:tc>
          <w:tcPr>
            <w:tcW w:type="dxa" w:w="2160"/>
            <w:shd w:val="clear" w:fill="DDEBF7"/>
          </w:tcPr>
          <w:p>
            <w:pPr>
              <w:spacing w:after="0"/>
              <w:jc w:val="center"/>
            </w:pPr>
            <w:r/>
            <w:r>
              <w:rPr>
                <w:b w:val="0"/>
                <w:i w:val="0"/>
                <w:sz w:val="18"/>
              </w:rPr>
              <w:t>4.1 days</w:t>
            </w:r>
          </w:p>
        </w:tc>
      </w:tr>
      <w:tr>
        <w:tc>
          <w:tcPr>
            <w:tcW w:type="dxa" w:w="2304"/>
          </w:tcPr>
          <w:p>
            <w:pPr>
              <w:spacing w:after="0"/>
            </w:pPr>
            <w:r/>
            <w:r>
              <w:rPr>
                <w:b w:val="0"/>
                <w:i w:val="0"/>
                <w:sz w:val="18"/>
              </w:rPr>
              <w:t>Manual</w:t>
            </w:r>
          </w:p>
        </w:tc>
        <w:tc>
          <w:tcPr>
            <w:tcW w:type="dxa" w:w="1440"/>
          </w:tcPr>
          <w:p>
            <w:pPr>
              <w:spacing w:after="0"/>
              <w:jc w:val="center"/>
            </w:pPr>
            <w:r/>
            <w:r>
              <w:rPr>
                <w:b w:val="0"/>
                <w:i w:val="0"/>
                <w:sz w:val="18"/>
              </w:rPr>
              <w:t>11</w:t>
            </w:r>
          </w:p>
        </w:tc>
        <w:tc>
          <w:tcPr>
            <w:tcW w:type="dxa" w:w="1872"/>
          </w:tcPr>
          <w:p>
            <w:pPr>
              <w:spacing w:after="0"/>
              <w:jc w:val="center"/>
            </w:pPr>
            <w:r/>
            <w:r>
              <w:rPr>
                <w:b w:val="0"/>
                <w:i w:val="0"/>
                <w:sz w:val="18"/>
              </w:rPr>
              <w:t>63.6%</w:t>
            </w:r>
          </w:p>
        </w:tc>
        <w:tc>
          <w:tcPr>
            <w:tcW w:type="dxa" w:w="2016"/>
          </w:tcPr>
          <w:p>
            <w:pPr>
              <w:spacing w:after="0"/>
              <w:jc w:val="center"/>
            </w:pPr>
            <w:r/>
            <w:r>
              <w:rPr>
                <w:b w:val="0"/>
                <w:i w:val="0"/>
                <w:sz w:val="18"/>
              </w:rPr>
              <w:t>5.9%</w:t>
            </w:r>
          </w:p>
        </w:tc>
        <w:tc>
          <w:tcPr>
            <w:tcW w:type="dxa" w:w="2160"/>
          </w:tcPr>
          <w:p>
            <w:pPr>
              <w:spacing w:after="0"/>
              <w:jc w:val="center"/>
            </w:pPr>
            <w:r/>
            <w:r>
              <w:rPr>
                <w:b w:val="0"/>
                <w:i w:val="0"/>
                <w:sz w:val="18"/>
              </w:rPr>
              <w:t>16.1 days</w:t>
            </w:r>
          </w:p>
        </w:tc>
      </w:tr>
    </w:tbl>
    <w:p>
      <w:pPr>
        <w:spacing w:before="40" w:after="160"/>
      </w:pPr>
      <w:r>
        <w:rPr>
          <w:i/>
          <w:color w:val="404040"/>
          <w:sz w:val="17"/>
        </w:rPr>
        <w:t>Table 2 — Process performance by automation level, FY2024. All eight below-threshold processes are Manual.</w:t>
      </w:r>
    </w:p>
    <w:p>
      <w:pPr>
        <w:spacing w:after="120"/>
      </w:pPr>
      <w:r>
        <w:rPr>
          <w:b w:val="0"/>
          <w:i w:val="0"/>
          <w:sz w:val="21"/>
        </w:rPr>
        <w:t>All 8 below-threshold processes are Manual. Manual processes average 63.6% on-time, 5.9% error, and 16.1-day cycles; Semi-Automated processes average 80.8% / 3.7% / 4.1 days; Automated processes average 94.8% / 1.4% / 1.1 days. Neither proposal as written addresses this gap directly — the recommendation in Section 7 adds a targeted automation program for that reason.</w:t>
      </w:r>
    </w:p>
    <w:p>
      <w:pPr>
        <w:pStyle w:val="Heading1"/>
      </w:pPr>
      <w:r>
        <w:t>3. NYC Benchmark Context</w:t>
      </w:r>
    </w:p>
    <w:p>
      <w:pPr>
        <w:pStyle w:val="Heading2"/>
      </w:pPr>
      <w:r>
        <w:t>3.1 Staffing trends (NYS Comptroller, Report 2-2025)</w:t>
      </w:r>
    </w:p>
    <w:p>
      <w:pPr>
        <w:spacing w:after="120"/>
      </w:pPr>
      <w:r>
        <w:rPr>
          <w:b w:val="0"/>
          <w:i w:val="0"/>
          <w:sz w:val="21"/>
        </w:rPr>
        <w:t>New York City’s post-pandemic staffing experience frames Greenfield’s choice. Citywide vacancy peaked at 8.4% in December 2022 and stood at 5.1% in January 2024 — still roughly 2.5× the pre-pandemic norm of 2.0%. Greenfield’s 9.1% exceeds every NYC analog: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fill="1F4E79"/>
          </w:tcPr>
          <w:p>
            <w:pPr>
              <w:spacing w:after="0"/>
              <w:jc w:val="center"/>
            </w:pPr>
            <w:r/>
            <w:r>
              <w:rPr>
                <w:b/>
                <w:i w:val="0"/>
                <w:color w:val="FFFFFF"/>
                <w:sz w:val="18"/>
              </w:rPr>
              <w:t>Greenfield Dept</w:t>
            </w:r>
          </w:p>
        </w:tc>
        <w:tc>
          <w:tcPr>
            <w:tcW w:type="dxa" w:w="1440"/>
            <w:shd w:val="clear" w:fill="1F4E79"/>
          </w:tcPr>
          <w:p>
            <w:pPr>
              <w:spacing w:after="0"/>
              <w:jc w:val="center"/>
            </w:pPr>
            <w:r/>
            <w:r>
              <w:rPr>
                <w:b/>
                <w:i w:val="0"/>
                <w:color w:val="FFFFFF"/>
                <w:sz w:val="18"/>
              </w:rPr>
              <w:t>NYC Analog</w:t>
            </w:r>
          </w:p>
        </w:tc>
        <w:tc>
          <w:tcPr>
            <w:tcW w:type="dxa" w:w="2160"/>
            <w:shd w:val="clear" w:fill="1F4E79"/>
          </w:tcPr>
          <w:p>
            <w:pPr>
              <w:spacing w:after="0"/>
              <w:jc w:val="center"/>
            </w:pPr>
            <w:r/>
            <w:r>
              <w:rPr>
                <w:b/>
                <w:i w:val="0"/>
                <w:color w:val="FFFFFF"/>
                <w:sz w:val="18"/>
              </w:rPr>
              <w:t>NYC Vacancy Jan 2024</w:t>
            </w:r>
          </w:p>
        </w:tc>
        <w:tc>
          <w:tcPr>
            <w:tcW w:type="dxa" w:w="2016"/>
            <w:shd w:val="clear" w:fill="1F4E79"/>
          </w:tcPr>
          <w:p>
            <w:pPr>
              <w:spacing w:after="0"/>
              <w:jc w:val="center"/>
            </w:pPr>
            <w:r/>
            <w:r>
              <w:rPr>
                <w:b/>
                <w:i w:val="0"/>
                <w:color w:val="FFFFFF"/>
                <w:sz w:val="18"/>
              </w:rPr>
              <w:t>NYC Historical Norm</w:t>
            </w:r>
          </w:p>
        </w:tc>
        <w:tc>
          <w:tcPr>
            <w:tcW w:type="dxa" w:w="2016"/>
            <w:shd w:val="clear" w:fill="1F4E79"/>
          </w:tcPr>
          <w:p>
            <w:pPr>
              <w:spacing w:after="0"/>
              <w:jc w:val="center"/>
            </w:pPr>
            <w:r/>
            <w:r>
              <w:rPr>
                <w:b/>
                <w:i w:val="0"/>
                <w:color w:val="FFFFFF"/>
                <w:sz w:val="18"/>
              </w:rPr>
              <w:t>Greenfield FY2024</w:t>
            </w:r>
          </w:p>
        </w:tc>
      </w:tr>
      <w:tr>
        <w:tc>
          <w:tcPr>
            <w:tcW w:type="dxa" w:w="2160"/>
          </w:tcPr>
          <w:p>
            <w:pPr>
              <w:spacing w:after="0"/>
            </w:pPr>
            <w:r/>
            <w:r>
              <w:rPr>
                <w:b w:val="0"/>
                <w:i w:val="0"/>
                <w:sz w:val="18"/>
              </w:rPr>
              <w:t>Transportation</w:t>
            </w:r>
          </w:p>
        </w:tc>
        <w:tc>
          <w:tcPr>
            <w:tcW w:type="dxa" w:w="1440"/>
          </w:tcPr>
          <w:p>
            <w:pPr>
              <w:spacing w:after="0"/>
              <w:jc w:val="center"/>
            </w:pPr>
            <w:r/>
            <w:r>
              <w:rPr>
                <w:b w:val="0"/>
                <w:i w:val="0"/>
                <w:sz w:val="18"/>
              </w:rPr>
              <w:t>DOT</w:t>
            </w:r>
          </w:p>
        </w:tc>
        <w:tc>
          <w:tcPr>
            <w:tcW w:type="dxa" w:w="2160"/>
          </w:tcPr>
          <w:p>
            <w:pPr>
              <w:spacing w:after="0"/>
              <w:jc w:val="center"/>
            </w:pPr>
            <w:r/>
            <w:r>
              <w:rPr>
                <w:b w:val="0"/>
                <w:i w:val="0"/>
                <w:sz w:val="18"/>
              </w:rPr>
              <w:t>10.0%</w:t>
            </w:r>
          </w:p>
        </w:tc>
        <w:tc>
          <w:tcPr>
            <w:tcW w:type="dxa" w:w="2016"/>
          </w:tcPr>
          <w:p>
            <w:pPr>
              <w:spacing w:after="0"/>
              <w:jc w:val="center"/>
            </w:pPr>
            <w:r/>
            <w:r>
              <w:rPr>
                <w:b w:val="0"/>
                <w:i w:val="0"/>
                <w:sz w:val="18"/>
              </w:rPr>
              <w:t>8.6%</w:t>
            </w:r>
          </w:p>
        </w:tc>
        <w:tc>
          <w:tcPr>
            <w:tcW w:type="dxa" w:w="2016"/>
            <w:shd w:val="clear" w:fill="FCE4E4"/>
          </w:tcPr>
          <w:p>
            <w:pPr>
              <w:spacing w:after="0"/>
              <w:jc w:val="center"/>
            </w:pPr>
            <w:r/>
            <w:r>
              <w:rPr>
                <w:b/>
                <w:i w:val="0"/>
                <w:color w:val="C00000"/>
                <w:sz w:val="18"/>
              </w:rPr>
              <w:t>14.9%</w:t>
            </w:r>
          </w:p>
        </w:tc>
      </w:tr>
      <w:tr>
        <w:tc>
          <w:tcPr>
            <w:tcW w:type="dxa" w:w="2160"/>
            <w:shd w:val="clear" w:fill="DDEBF7"/>
          </w:tcPr>
          <w:p>
            <w:pPr>
              <w:spacing w:after="0"/>
            </w:pPr>
            <w:r/>
            <w:r>
              <w:rPr>
                <w:b w:val="0"/>
                <w:i w:val="0"/>
                <w:sz w:val="18"/>
              </w:rPr>
              <w:t>Health Services</w:t>
            </w:r>
          </w:p>
        </w:tc>
        <w:tc>
          <w:tcPr>
            <w:tcW w:type="dxa" w:w="1440"/>
            <w:shd w:val="clear" w:fill="DDEBF7"/>
          </w:tcPr>
          <w:p>
            <w:pPr>
              <w:spacing w:after="0"/>
              <w:jc w:val="center"/>
            </w:pPr>
            <w:r/>
            <w:r>
              <w:rPr>
                <w:b w:val="0"/>
                <w:i w:val="0"/>
                <w:sz w:val="18"/>
              </w:rPr>
              <w:t>DOHMH</w:t>
            </w:r>
          </w:p>
        </w:tc>
        <w:tc>
          <w:tcPr>
            <w:tcW w:type="dxa" w:w="2160"/>
            <w:shd w:val="clear" w:fill="DDEBF7"/>
          </w:tcPr>
          <w:p>
            <w:pPr>
              <w:spacing w:after="0"/>
              <w:jc w:val="center"/>
            </w:pPr>
            <w:r/>
            <w:r>
              <w:rPr>
                <w:b w:val="0"/>
                <w:i w:val="0"/>
                <w:sz w:val="18"/>
              </w:rPr>
              <w:t>9.3%</w:t>
            </w:r>
          </w:p>
        </w:tc>
        <w:tc>
          <w:tcPr>
            <w:tcW w:type="dxa" w:w="2016"/>
            <w:shd w:val="clear" w:fill="DDEBF7"/>
          </w:tcPr>
          <w:p>
            <w:pPr>
              <w:spacing w:after="0"/>
              <w:jc w:val="center"/>
            </w:pPr>
            <w:r/>
            <w:r>
              <w:rPr>
                <w:b w:val="0"/>
                <w:i w:val="0"/>
                <w:sz w:val="18"/>
              </w:rPr>
              <w:t>11.3%</w:t>
            </w:r>
          </w:p>
        </w:tc>
        <w:tc>
          <w:tcPr>
            <w:tcW w:type="dxa" w:w="2016"/>
            <w:shd w:val="clear" w:fill="DDEBF7"/>
            <w:shd w:val="clear" w:fill="FCE4E4"/>
          </w:tcPr>
          <w:p>
            <w:pPr>
              <w:spacing w:after="0"/>
              <w:jc w:val="center"/>
            </w:pPr>
            <w:r/>
            <w:r>
              <w:rPr>
                <w:b/>
                <w:i w:val="0"/>
                <w:color w:val="C00000"/>
                <w:sz w:val="18"/>
              </w:rPr>
              <w:t>16.7%</w:t>
            </w:r>
          </w:p>
        </w:tc>
      </w:tr>
      <w:tr>
        <w:tc>
          <w:tcPr>
            <w:tcW w:type="dxa" w:w="2160"/>
          </w:tcPr>
          <w:p>
            <w:pPr>
              <w:spacing w:after="0"/>
            </w:pPr>
            <w:r/>
            <w:r>
              <w:rPr>
                <w:b w:val="0"/>
                <w:i w:val="0"/>
                <w:sz w:val="18"/>
              </w:rPr>
              <w:t>Parks &amp; Recreation</w:t>
            </w:r>
          </w:p>
        </w:tc>
        <w:tc>
          <w:tcPr>
            <w:tcW w:type="dxa" w:w="1440"/>
          </w:tcPr>
          <w:p>
            <w:pPr>
              <w:spacing w:after="0"/>
              <w:jc w:val="center"/>
            </w:pPr>
            <w:r/>
            <w:r>
              <w:rPr>
                <w:b w:val="0"/>
                <w:i w:val="0"/>
                <w:sz w:val="18"/>
              </w:rPr>
              <w:t>DPR</w:t>
            </w:r>
          </w:p>
        </w:tc>
        <w:tc>
          <w:tcPr>
            <w:tcW w:type="dxa" w:w="2160"/>
          </w:tcPr>
          <w:p>
            <w:pPr>
              <w:spacing w:after="0"/>
              <w:jc w:val="center"/>
            </w:pPr>
            <w:r/>
            <w:r>
              <w:rPr>
                <w:b w:val="0"/>
                <w:i w:val="0"/>
                <w:sz w:val="18"/>
              </w:rPr>
              <w:t>1.7%</w:t>
            </w:r>
          </w:p>
        </w:tc>
        <w:tc>
          <w:tcPr>
            <w:tcW w:type="dxa" w:w="2016"/>
          </w:tcPr>
          <w:p>
            <w:pPr>
              <w:spacing w:after="0"/>
              <w:jc w:val="center"/>
            </w:pPr>
            <w:r/>
            <w:r>
              <w:rPr>
                <w:b w:val="0"/>
                <w:i w:val="0"/>
                <w:sz w:val="18"/>
              </w:rPr>
              <w:t>4.5%</w:t>
            </w:r>
          </w:p>
        </w:tc>
        <w:tc>
          <w:tcPr>
            <w:tcW w:type="dxa" w:w="2016"/>
          </w:tcPr>
          <w:p>
            <w:pPr>
              <w:spacing w:after="0"/>
              <w:jc w:val="center"/>
            </w:pPr>
            <w:r/>
            <w:r>
              <w:rPr>
                <w:b w:val="0"/>
                <w:i w:val="0"/>
                <w:sz w:val="18"/>
              </w:rPr>
              <w:t>5.2%</w:t>
            </w:r>
          </w:p>
        </w:tc>
      </w:tr>
      <w:tr>
        <w:tc>
          <w:tcPr>
            <w:tcW w:type="dxa" w:w="2160"/>
            <w:shd w:val="clear" w:fill="DDEBF7"/>
          </w:tcPr>
          <w:p>
            <w:pPr>
              <w:spacing w:after="0"/>
            </w:pPr>
            <w:r/>
            <w:r>
              <w:rPr>
                <w:b w:val="0"/>
                <w:i w:val="0"/>
                <w:sz w:val="18"/>
              </w:rPr>
              <w:t>Sanitation</w:t>
            </w:r>
          </w:p>
        </w:tc>
        <w:tc>
          <w:tcPr>
            <w:tcW w:type="dxa" w:w="1440"/>
            <w:shd w:val="clear" w:fill="DDEBF7"/>
          </w:tcPr>
          <w:p>
            <w:pPr>
              <w:spacing w:after="0"/>
              <w:jc w:val="center"/>
            </w:pPr>
            <w:r/>
            <w:r>
              <w:rPr>
                <w:b w:val="0"/>
                <w:i w:val="0"/>
                <w:sz w:val="18"/>
              </w:rPr>
              <w:t>DSNY</w:t>
            </w:r>
          </w:p>
        </w:tc>
        <w:tc>
          <w:tcPr>
            <w:tcW w:type="dxa" w:w="2160"/>
            <w:shd w:val="clear" w:fill="DDEBF7"/>
          </w:tcPr>
          <w:p>
            <w:pPr>
              <w:spacing w:after="0"/>
              <w:jc w:val="center"/>
            </w:pPr>
            <w:r/>
            <w:r>
              <w:rPr>
                <w:b w:val="0"/>
                <w:i w:val="0"/>
                <w:sz w:val="18"/>
              </w:rPr>
              <w:t>≈0%</w:t>
            </w:r>
          </w:p>
        </w:tc>
        <w:tc>
          <w:tcPr>
            <w:tcW w:type="dxa" w:w="2016"/>
            <w:shd w:val="clear" w:fill="DDEBF7"/>
          </w:tcPr>
          <w:p>
            <w:pPr>
              <w:spacing w:after="0"/>
              <w:jc w:val="center"/>
            </w:pPr>
            <w:r/>
            <w:r>
              <w:rPr>
                <w:b w:val="0"/>
                <w:i w:val="0"/>
                <w:sz w:val="18"/>
              </w:rPr>
              <w:t>≈0%</w:t>
            </w:r>
          </w:p>
        </w:tc>
        <w:tc>
          <w:tcPr>
            <w:tcW w:type="dxa" w:w="2016"/>
            <w:shd w:val="clear" w:fill="DDEBF7"/>
          </w:tcPr>
          <w:p>
            <w:pPr>
              <w:spacing w:after="0"/>
              <w:jc w:val="center"/>
            </w:pPr>
            <w:r/>
            <w:r>
              <w:rPr>
                <w:b w:val="0"/>
                <w:i w:val="0"/>
                <w:sz w:val="18"/>
              </w:rPr>
              <w:t>6.5%</w:t>
            </w:r>
          </w:p>
        </w:tc>
      </w:tr>
      <w:tr>
        <w:tc>
          <w:tcPr>
            <w:tcW w:type="dxa" w:w="2160"/>
          </w:tcPr>
          <w:p>
            <w:pPr>
              <w:spacing w:after="0"/>
            </w:pPr>
            <w:r/>
            <w:r>
              <w:rPr>
                <w:b w:val="0"/>
                <w:i w:val="0"/>
                <w:sz w:val="18"/>
              </w:rPr>
              <w:t>Fire Department</w:t>
            </w:r>
          </w:p>
        </w:tc>
        <w:tc>
          <w:tcPr>
            <w:tcW w:type="dxa" w:w="1440"/>
          </w:tcPr>
          <w:p>
            <w:pPr>
              <w:spacing w:after="0"/>
              <w:jc w:val="center"/>
            </w:pPr>
            <w:r/>
            <w:r>
              <w:rPr>
                <w:b w:val="0"/>
                <w:i w:val="0"/>
                <w:sz w:val="18"/>
              </w:rPr>
              <w:t>FDNY</w:t>
            </w:r>
          </w:p>
        </w:tc>
        <w:tc>
          <w:tcPr>
            <w:tcW w:type="dxa" w:w="2160"/>
          </w:tcPr>
          <w:p>
            <w:pPr>
              <w:spacing w:after="0"/>
              <w:jc w:val="center"/>
            </w:pPr>
            <w:r/>
            <w:r>
              <w:rPr>
                <w:b w:val="0"/>
                <w:i w:val="0"/>
                <w:sz w:val="18"/>
              </w:rPr>
              <w:t>1.4%</w:t>
            </w:r>
          </w:p>
        </w:tc>
        <w:tc>
          <w:tcPr>
            <w:tcW w:type="dxa" w:w="2016"/>
          </w:tcPr>
          <w:p>
            <w:pPr>
              <w:spacing w:after="0"/>
              <w:jc w:val="center"/>
            </w:pPr>
            <w:r/>
            <w:r>
              <w:rPr>
                <w:b w:val="0"/>
                <w:i w:val="0"/>
                <w:sz w:val="18"/>
              </w:rPr>
              <w:t>≈0%</w:t>
            </w:r>
          </w:p>
        </w:tc>
        <w:tc>
          <w:tcPr>
            <w:tcW w:type="dxa" w:w="2016"/>
          </w:tcPr>
          <w:p>
            <w:pPr>
              <w:spacing w:after="0"/>
              <w:jc w:val="center"/>
            </w:pPr>
            <w:r/>
            <w:r>
              <w:rPr>
                <w:b w:val="0"/>
                <w:i w:val="0"/>
                <w:sz w:val="18"/>
              </w:rPr>
              <w:t>3.5%</w:t>
            </w:r>
          </w:p>
        </w:tc>
      </w:tr>
    </w:tbl>
    <w:p>
      <w:pPr>
        <w:spacing w:before="40" w:after="160"/>
      </w:pPr>
      <w:r>
        <w:rPr>
          <w:i/>
          <w:color w:val="404040"/>
          <w:sz w:val="17"/>
        </w:rPr>
        <w:t>Table 3 — Vacancy rates vs NYC analogs. NYC figures: NYS Comptroller Report 2-2025 (OSC staffing database). Red = above the 12% trigger.</w:t>
      </w:r>
    </w:p>
    <w:p>
      <w:pPr>
        <w:spacing w:after="120"/>
      </w:pPr>
      <w:r>
        <w:rPr>
          <w:b w:val="0"/>
          <w:i w:val="0"/>
          <w:sz w:val="21"/>
        </w:rPr>
        <w:t>Four further findings from the Comptroller’s report bear directly on this decision:</w:t>
      </w:r>
    </w:p>
    <w:p>
      <w:pPr>
        <w:pStyle w:val="ListBullet"/>
        <w:spacing w:after="80"/>
      </w:pPr>
      <w:r>
        <w:rPr>
          <w:b/>
          <w:sz w:val="21"/>
        </w:rPr>
        <w:t xml:space="preserve">Attrition </w:t>
      </w:r>
      <w:r>
        <w:rPr>
          <w:sz w:val="21"/>
        </w:rPr>
        <w:t>rose from 19,080 (pre-pandemic year-to-date) to 25,966 (FY2023) before easing to 21,503 (FY2024). FDNY attrition ran 52% above pre-pandemic — mirroring the Fire-driven overtime pressure Greenfield sees locally.</w:t>
      </w:r>
    </w:p>
    <w:p>
      <w:pPr>
        <w:pStyle w:val="ListBullet"/>
        <w:spacing w:after="80"/>
      </w:pPr>
      <w:r>
        <w:rPr>
          <w:b/>
          <w:sz w:val="21"/>
        </w:rPr>
        <w:t xml:space="preserve">Overtime </w:t>
      </w:r>
      <w:r>
        <w:rPr>
          <w:sz w:val="21"/>
        </w:rPr>
        <w:t>reached $1.8B through March 2024 versus $1.1B three years earlier, with overtime rising from 7.0% to 10.8% of payroll. FDNY’s Fire Extinguishment division OT share hit 40.3% (from 28.9%) — the same structural pattern as Greenfield Fire’s 14.6%, 12-of-12 months above threshold.</w:t>
      </w:r>
    </w:p>
    <w:p>
      <w:pPr>
        <w:pStyle w:val="ListBullet"/>
        <w:spacing w:after="80"/>
      </w:pPr>
      <w:r>
        <w:rPr>
          <w:b/>
          <w:sz w:val="21"/>
        </w:rPr>
        <w:t xml:space="preserve">Centralized hiring </w:t>
      </w:r>
      <w:r>
        <w:rPr>
          <w:sz w:val="21"/>
        </w:rPr>
        <w:t>cut civil-service exam turnaround from 318 days (FY2021) to 219 (FY2023) to 169 days (early FY2024) while exam applications rose from 75,489 to 119,599 — the evidence base for Proposal B’s centralized hiring unit.</w:t>
      </w:r>
    </w:p>
    <w:p>
      <w:pPr>
        <w:pStyle w:val="ListBullet"/>
        <w:spacing w:after="80"/>
      </w:pPr>
      <w:r>
        <w:rPr>
          <w:b/>
          <w:sz w:val="21"/>
        </w:rPr>
        <w:t xml:space="preserve">Targeted hiring worked: </w:t>
      </w:r>
      <w:r>
        <w:rPr>
          <w:sz w:val="21"/>
        </w:rPr>
        <w:t>citywide vacancies fell from 25,714 (Dec 2022) to 15,266 (Jan 2024) once targeted recruiting replaced across-the-board measures — targeted fixes outperformed structural reorganizations.</w:t>
      </w:r>
    </w:p>
    <w:p>
      <w:pPr>
        <w:pStyle w:val="Heading2"/>
      </w:pPr>
      <w:r>
        <w:t>3.2 Service-delivery benchmarks (NYC Mayor’s Management Report)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328"/>
            <w:shd w:val="clear" w:fill="1F4E79"/>
          </w:tcPr>
          <w:p>
            <w:pPr>
              <w:spacing w:after="0"/>
              <w:jc w:val="center"/>
            </w:pPr>
            <w:r/>
            <w:r>
              <w:rPr>
                <w:b/>
                <w:i w:val="0"/>
                <w:color w:val="FFFFFF"/>
                <w:sz w:val="18"/>
              </w:rPr>
              <w:t>Indicator (NYC MMR, FY2026 snapshot)</w:t>
            </w:r>
          </w:p>
        </w:tc>
        <w:tc>
          <w:tcPr>
            <w:tcW w:type="dxa" w:w="1296"/>
            <w:shd w:val="clear" w:fill="1F4E79"/>
          </w:tcPr>
          <w:p>
            <w:pPr>
              <w:spacing w:after="0"/>
              <w:jc w:val="center"/>
            </w:pPr>
            <w:r/>
            <w:r>
              <w:rPr>
                <w:b/>
                <w:i w:val="0"/>
                <w:color w:val="FFFFFF"/>
                <w:sz w:val="18"/>
              </w:rPr>
              <w:t>Actual</w:t>
            </w:r>
          </w:p>
        </w:tc>
        <w:tc>
          <w:tcPr>
            <w:tcW w:type="dxa" w:w="1296"/>
            <w:shd w:val="clear" w:fill="1F4E79"/>
          </w:tcPr>
          <w:p>
            <w:pPr>
              <w:spacing w:after="0"/>
              <w:jc w:val="center"/>
            </w:pPr>
            <w:r/>
            <w:r>
              <w:rPr>
                <w:b/>
                <w:i w:val="0"/>
                <w:color w:val="FFFFFF"/>
                <w:sz w:val="18"/>
              </w:rPr>
              <w:t>Target</w:t>
            </w:r>
          </w:p>
        </w:tc>
        <w:tc>
          <w:tcPr>
            <w:tcW w:type="dxa" w:w="1296"/>
            <w:shd w:val="clear" w:fill="1F4E79"/>
          </w:tcPr>
          <w:p>
            <w:pPr>
              <w:spacing w:after="0"/>
              <w:jc w:val="center"/>
            </w:pPr>
            <w:r/>
            <w:r>
              <w:rPr>
                <w:b/>
                <w:i w:val="0"/>
                <w:color w:val="FFFFFF"/>
                <w:sz w:val="18"/>
              </w:rPr>
              <w:t>Status</w:t>
            </w:r>
          </w:p>
        </w:tc>
      </w:tr>
      <w:tr>
        <w:tc>
          <w:tcPr>
            <w:tcW w:type="dxa" w:w="5328"/>
          </w:tcPr>
          <w:p>
            <w:pPr>
              <w:spacing w:after="0"/>
            </w:pPr>
            <w:r/>
            <w:r>
              <w:rPr>
                <w:b w:val="0"/>
                <w:i w:val="0"/>
                <w:sz w:val="18"/>
              </w:rPr>
              <w:t>DOT — Pothole repair meeting 30-day time-to-close</w:t>
            </w:r>
          </w:p>
        </w:tc>
        <w:tc>
          <w:tcPr>
            <w:tcW w:type="dxa" w:w="1296"/>
          </w:tcPr>
          <w:p>
            <w:pPr>
              <w:spacing w:after="0"/>
              <w:jc w:val="center"/>
            </w:pPr>
            <w:r/>
            <w:r>
              <w:rPr>
                <w:b w:val="0"/>
                <w:i w:val="0"/>
                <w:sz w:val="18"/>
              </w:rPr>
              <w:t>100%</w:t>
            </w:r>
          </w:p>
        </w:tc>
        <w:tc>
          <w:tcPr>
            <w:tcW w:type="dxa" w:w="1296"/>
          </w:tcPr>
          <w:p>
            <w:pPr>
              <w:spacing w:after="0"/>
              <w:jc w:val="center"/>
            </w:pPr>
            <w:r/>
            <w:r>
              <w:rPr>
                <w:b w:val="0"/>
                <w:i w:val="0"/>
                <w:sz w:val="18"/>
              </w:rPr>
              <w:t>98%</w:t>
            </w:r>
          </w:p>
        </w:tc>
        <w:tc>
          <w:tcPr>
            <w:tcW w:type="dxa" w:w="1296"/>
          </w:tcPr>
          <w:p>
            <w:pPr>
              <w:spacing w:after="0"/>
              <w:jc w:val="center"/>
            </w:pPr>
            <w:r/>
            <w:r>
              <w:rPr>
                <w:b w:val="0"/>
                <w:i w:val="0"/>
                <w:sz w:val="18"/>
              </w:rPr>
              <w:t>Met</w:t>
            </w:r>
          </w:p>
        </w:tc>
      </w:tr>
      <w:tr>
        <w:tc>
          <w:tcPr>
            <w:tcW w:type="dxa" w:w="5328"/>
            <w:shd w:val="clear" w:fill="DDEBF7"/>
          </w:tcPr>
          <w:p>
            <w:pPr>
              <w:spacing w:after="0"/>
            </w:pPr>
            <w:r/>
            <w:r>
              <w:rPr>
                <w:b w:val="0"/>
                <w:i w:val="0"/>
                <w:sz w:val="18"/>
              </w:rPr>
              <w:t>DOHMH — Food establishment inspection SLA</w:t>
            </w:r>
          </w:p>
        </w:tc>
        <w:tc>
          <w:tcPr>
            <w:tcW w:type="dxa" w:w="1296"/>
            <w:shd w:val="clear" w:fill="DDEBF7"/>
          </w:tcPr>
          <w:p>
            <w:pPr>
              <w:spacing w:after="0"/>
              <w:jc w:val="center"/>
            </w:pPr>
            <w:r/>
            <w:r>
              <w:rPr>
                <w:b w:val="0"/>
                <w:i w:val="0"/>
                <w:sz w:val="18"/>
              </w:rPr>
              <w:t>90%</w:t>
            </w:r>
          </w:p>
        </w:tc>
        <w:tc>
          <w:tcPr>
            <w:tcW w:type="dxa" w:w="1296"/>
            <w:shd w:val="clear" w:fill="DDEBF7"/>
          </w:tcPr>
          <w:p>
            <w:pPr>
              <w:spacing w:after="0"/>
              <w:jc w:val="center"/>
            </w:pPr>
            <w:r/>
            <w:r>
              <w:rPr>
                <w:b w:val="0"/>
                <w:i w:val="0"/>
                <w:sz w:val="18"/>
              </w:rPr>
              <w:t>90%</w:t>
            </w:r>
          </w:p>
        </w:tc>
        <w:tc>
          <w:tcPr>
            <w:tcW w:type="dxa" w:w="1296"/>
            <w:shd w:val="clear" w:fill="DDEBF7"/>
          </w:tcPr>
          <w:p>
            <w:pPr>
              <w:spacing w:after="0"/>
              <w:jc w:val="center"/>
            </w:pPr>
            <w:r/>
            <w:r>
              <w:rPr>
                <w:b w:val="0"/>
                <w:i w:val="0"/>
                <w:sz w:val="18"/>
              </w:rPr>
              <w:t>Met</w:t>
            </w:r>
          </w:p>
        </w:tc>
      </w:tr>
      <w:tr>
        <w:tc>
          <w:tcPr>
            <w:tcW w:type="dxa" w:w="5328"/>
          </w:tcPr>
          <w:p>
            <w:pPr>
              <w:spacing w:after="0"/>
            </w:pPr>
            <w:r/>
            <w:r>
              <w:rPr>
                <w:b w:val="0"/>
                <w:i w:val="0"/>
                <w:sz w:val="18"/>
              </w:rPr>
              <w:t>DOHMH — Birth certificate average response</w:t>
            </w:r>
          </w:p>
        </w:tc>
        <w:tc>
          <w:tcPr>
            <w:tcW w:type="dxa" w:w="1296"/>
          </w:tcPr>
          <w:p>
            <w:pPr>
              <w:spacing w:after="0"/>
              <w:jc w:val="center"/>
            </w:pPr>
            <w:r/>
            <w:r>
              <w:rPr>
                <w:b w:val="0"/>
                <w:i w:val="0"/>
                <w:sz w:val="18"/>
              </w:rPr>
              <w:t>2.6 days</w:t>
            </w:r>
          </w:p>
        </w:tc>
        <w:tc>
          <w:tcPr>
            <w:tcW w:type="dxa" w:w="1296"/>
          </w:tcPr>
          <w:p>
            <w:pPr>
              <w:spacing w:after="0"/>
              <w:jc w:val="center"/>
            </w:pPr>
            <w:r/>
            <w:r>
              <w:rPr>
                <w:b w:val="0"/>
                <w:i w:val="0"/>
                <w:sz w:val="18"/>
              </w:rPr>
              <w:t>3.0 days</w:t>
            </w:r>
          </w:p>
        </w:tc>
        <w:tc>
          <w:tcPr>
            <w:tcW w:type="dxa" w:w="1296"/>
          </w:tcPr>
          <w:p>
            <w:pPr>
              <w:spacing w:after="0"/>
              <w:jc w:val="center"/>
            </w:pPr>
            <w:r/>
            <w:r>
              <w:rPr>
                <w:b w:val="0"/>
                <w:i w:val="0"/>
                <w:sz w:val="18"/>
              </w:rPr>
              <w:t>Met</w:t>
            </w:r>
          </w:p>
        </w:tc>
      </w:tr>
      <w:tr>
        <w:tc>
          <w:tcPr>
            <w:tcW w:type="dxa" w:w="5328"/>
            <w:shd w:val="clear" w:fill="DDEBF7"/>
          </w:tcPr>
          <w:p>
            <w:pPr>
              <w:spacing w:after="0"/>
            </w:pPr>
            <w:r/>
            <w:r>
              <w:rPr>
                <w:b w:val="0"/>
                <w:i w:val="0"/>
                <w:sz w:val="18"/>
              </w:rPr>
              <w:t>FDNY — EMS life-threatening response time</w:t>
            </w:r>
          </w:p>
        </w:tc>
        <w:tc>
          <w:tcPr>
            <w:tcW w:type="dxa" w:w="1296"/>
            <w:shd w:val="clear" w:fill="DDEBF7"/>
          </w:tcPr>
          <w:p>
            <w:pPr>
              <w:spacing w:after="0"/>
              <w:jc w:val="center"/>
            </w:pPr>
            <w:r/>
            <w:r>
              <w:rPr>
                <w:b w:val="0"/>
                <w:i w:val="0"/>
                <w:sz w:val="18"/>
              </w:rPr>
              <w:t>9:32</w:t>
            </w:r>
          </w:p>
        </w:tc>
        <w:tc>
          <w:tcPr>
            <w:tcW w:type="dxa" w:w="1296"/>
            <w:shd w:val="clear" w:fill="DDEBF7"/>
          </w:tcPr>
          <w:p>
            <w:pPr>
              <w:spacing w:after="0"/>
              <w:jc w:val="center"/>
            </w:pPr>
            <w:r/>
            <w:r>
              <w:rPr>
                <w:b w:val="0"/>
                <w:i w:val="0"/>
                <w:sz w:val="18"/>
              </w:rPr>
              <w:t>6:55</w:t>
            </w:r>
          </w:p>
        </w:tc>
        <w:tc>
          <w:tcPr>
            <w:tcW w:type="dxa" w:w="1296"/>
            <w:shd w:val="clear" w:fill="DDEBF7"/>
          </w:tcPr>
          <w:p>
            <w:pPr>
              <w:spacing w:after="0"/>
              <w:jc w:val="center"/>
            </w:pPr>
            <w:r/>
            <w:r>
              <w:rPr>
                <w:b w:val="0"/>
                <w:i w:val="0"/>
                <w:sz w:val="18"/>
              </w:rPr>
              <w:t>Missed</w:t>
            </w:r>
          </w:p>
        </w:tc>
      </w:tr>
      <w:tr>
        <w:tc>
          <w:tcPr>
            <w:tcW w:type="dxa" w:w="5328"/>
          </w:tcPr>
          <w:p>
            <w:pPr>
              <w:spacing w:after="0"/>
            </w:pPr>
            <w:r/>
            <w:r>
              <w:rPr>
                <w:b w:val="0"/>
                <w:i w:val="0"/>
                <w:sz w:val="18"/>
              </w:rPr>
              <w:t>FDNY — Structural fire response time</w:t>
            </w:r>
          </w:p>
        </w:tc>
        <w:tc>
          <w:tcPr>
            <w:tcW w:type="dxa" w:w="1296"/>
          </w:tcPr>
          <w:p>
            <w:pPr>
              <w:spacing w:after="0"/>
              <w:jc w:val="center"/>
            </w:pPr>
            <w:r/>
            <w:r>
              <w:rPr>
                <w:b w:val="0"/>
                <w:i w:val="0"/>
                <w:sz w:val="18"/>
              </w:rPr>
              <w:t>4:37</w:t>
            </w:r>
          </w:p>
        </w:tc>
        <w:tc>
          <w:tcPr>
            <w:tcW w:type="dxa" w:w="1296"/>
          </w:tcPr>
          <w:p>
            <w:pPr>
              <w:spacing w:after="0"/>
              <w:jc w:val="center"/>
            </w:pPr>
            <w:r/>
            <w:r>
              <w:rPr>
                <w:b w:val="0"/>
                <w:i w:val="0"/>
                <w:sz w:val="18"/>
              </w:rPr>
              <w:t>4:14</w:t>
            </w:r>
          </w:p>
        </w:tc>
        <w:tc>
          <w:tcPr>
            <w:tcW w:type="dxa" w:w="1296"/>
          </w:tcPr>
          <w:p>
            <w:pPr>
              <w:spacing w:after="0"/>
              <w:jc w:val="center"/>
            </w:pPr>
            <w:r/>
            <w:r>
              <w:rPr>
                <w:b w:val="0"/>
                <w:i w:val="0"/>
                <w:sz w:val="18"/>
              </w:rPr>
              <w:t>Missed</w:t>
            </w:r>
          </w:p>
        </w:tc>
      </w:tr>
      <w:tr>
        <w:tc>
          <w:tcPr>
            <w:tcW w:type="dxa" w:w="5328"/>
            <w:shd w:val="clear" w:fill="DDEBF7"/>
          </w:tcPr>
          <w:p>
            <w:pPr>
              <w:spacing w:after="0"/>
            </w:pPr>
            <w:r/>
            <w:r>
              <w:rPr>
                <w:b w:val="0"/>
                <w:i w:val="0"/>
                <w:sz w:val="18"/>
              </w:rPr>
              <w:t>DPR — Recreation center attendance (monthly)</w:t>
            </w:r>
          </w:p>
        </w:tc>
        <w:tc>
          <w:tcPr>
            <w:tcW w:type="dxa" w:w="1296"/>
            <w:shd w:val="clear" w:fill="DDEBF7"/>
          </w:tcPr>
          <w:p>
            <w:pPr>
              <w:spacing w:after="0"/>
              <w:jc w:val="center"/>
            </w:pPr>
            <w:r/>
            <w:r>
              <w:rPr>
                <w:b w:val="0"/>
                <w:i w:val="0"/>
                <w:sz w:val="18"/>
              </w:rPr>
              <w:t>15,808</w:t>
            </w:r>
          </w:p>
        </w:tc>
        <w:tc>
          <w:tcPr>
            <w:tcW w:type="dxa" w:w="1296"/>
            <w:shd w:val="clear" w:fill="DDEBF7"/>
          </w:tcPr>
          <w:p>
            <w:pPr>
              <w:spacing w:after="0"/>
              <w:jc w:val="center"/>
            </w:pPr>
            <w:r/>
            <w:r>
              <w:rPr>
                <w:b w:val="0"/>
                <w:i w:val="0"/>
                <w:sz w:val="18"/>
              </w:rPr>
              <w:t>—</w:t>
            </w:r>
          </w:p>
        </w:tc>
        <w:tc>
          <w:tcPr>
            <w:tcW w:type="dxa" w:w="1296"/>
            <w:shd w:val="clear" w:fill="DDEBF7"/>
          </w:tcPr>
          <w:p>
            <w:pPr>
              <w:spacing w:after="0"/>
              <w:jc w:val="center"/>
            </w:pPr>
            <w:r/>
            <w:r>
              <w:rPr>
                <w:b w:val="0"/>
                <w:i w:val="0"/>
                <w:sz w:val="18"/>
              </w:rPr>
              <w:t>Context</w:t>
            </w:r>
          </w:p>
        </w:tc>
      </w:tr>
      <w:tr>
        <w:tc>
          <w:tcPr>
            <w:tcW w:type="dxa" w:w="5328"/>
          </w:tcPr>
          <w:p>
            <w:pPr>
              <w:spacing w:after="0"/>
            </w:pPr>
            <w:r/>
            <w:r>
              <w:rPr>
                <w:b w:val="0"/>
                <w:i w:val="0"/>
                <w:sz w:val="18"/>
              </w:rPr>
              <w:t>DSNY — Paper recycling revenue per ton</w:t>
            </w:r>
          </w:p>
        </w:tc>
        <w:tc>
          <w:tcPr>
            <w:tcW w:type="dxa" w:w="1296"/>
          </w:tcPr>
          <w:p>
            <w:pPr>
              <w:spacing w:after="0"/>
              <w:jc w:val="center"/>
            </w:pPr>
            <w:r/>
            <w:r>
              <w:rPr>
                <w:b w:val="0"/>
                <w:i w:val="0"/>
                <w:sz w:val="18"/>
              </w:rPr>
              <w:t>$13</w:t>
            </w:r>
          </w:p>
        </w:tc>
        <w:tc>
          <w:tcPr>
            <w:tcW w:type="dxa" w:w="1296"/>
          </w:tcPr>
          <w:p>
            <w:pPr>
              <w:spacing w:after="0"/>
              <w:jc w:val="center"/>
            </w:pPr>
            <w:r/>
            <w:r>
              <w:rPr>
                <w:b w:val="0"/>
                <w:i w:val="0"/>
                <w:sz w:val="18"/>
              </w:rPr>
              <w:t>—</w:t>
            </w:r>
          </w:p>
        </w:tc>
        <w:tc>
          <w:tcPr>
            <w:tcW w:type="dxa" w:w="1296"/>
          </w:tcPr>
          <w:p>
            <w:pPr>
              <w:spacing w:after="0"/>
              <w:jc w:val="center"/>
            </w:pPr>
            <w:r/>
            <w:r>
              <w:rPr>
                <w:b w:val="0"/>
                <w:i w:val="0"/>
                <w:sz w:val="18"/>
              </w:rPr>
              <w:t>Context</w:t>
            </w:r>
          </w:p>
        </w:tc>
      </w:tr>
    </w:tbl>
    <w:p>
      <w:pPr>
        <w:spacing w:before="40" w:after="160"/>
      </w:pPr>
      <w:r>
        <w:rPr>
          <w:i/>
          <w:color w:val="404040"/>
          <w:sz w:val="17"/>
        </w:rPr>
        <w:t>Table 4 — Selected NYC MMR indicators (dataset rbed-zzin). Illustrates what large analog agencies sustain under the same post-pandemic staffing stress Greenfield faces.</w:t>
      </w:r>
    </w:p>
    <w:p>
      <w:pPr>
        <w:spacing w:after="120"/>
      </w:pPr>
      <w:r>
        <w:rPr>
          <w:b w:val="0"/>
          <w:i w:val="0"/>
          <w:sz w:val="21"/>
        </w:rPr>
        <w:t>Three lessons: (i) large agencies can sustain near-perfect performance on routine, well-staffed processes (pothole repair at 100%) even amid citywide stress; (ii) response-time services degrade when staffing tightens — FDNY’s EMS and fire-response misses are the direct analog to Greenfield Fire’s overtime dependence; (iii) NYC benchmarks are directional only, because Greenfield operates at a fraction of NYC’s per-employee resourcing (Section 3.3).</w:t>
      </w:r>
    </w:p>
    <w:p>
      <w:pPr>
        <w:pStyle w:val="Heading2"/>
      </w:pPr>
      <w:r>
        <w:t>3.3 Per-employee budget comparison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fill="1F4E79"/>
          </w:tcPr>
          <w:p>
            <w:pPr>
              <w:spacing w:after="0"/>
              <w:jc w:val="center"/>
            </w:pPr>
            <w:r/>
            <w:r>
              <w:rPr>
                <w:b/>
                <w:i w:val="0"/>
                <w:color w:val="FFFFFF"/>
                <w:sz w:val="17"/>
              </w:rPr>
              <w:t>Department</w:t>
            </w:r>
          </w:p>
        </w:tc>
        <w:tc>
          <w:tcPr>
            <w:tcW w:type="dxa" w:w="1656"/>
            <w:shd w:val="clear" w:fill="1F4E79"/>
          </w:tcPr>
          <w:p>
            <w:pPr>
              <w:spacing w:after="0"/>
              <w:jc w:val="center"/>
            </w:pPr>
            <w:r/>
            <w:r>
              <w:rPr>
                <w:b/>
                <w:i w:val="0"/>
                <w:color w:val="FFFFFF"/>
                <w:sz w:val="17"/>
              </w:rPr>
              <w:t>NYC FY2024 Modified Budget</w:t>
            </w:r>
          </w:p>
        </w:tc>
        <w:tc>
          <w:tcPr>
            <w:tcW w:type="dxa" w:w="1512"/>
            <w:shd w:val="clear" w:fill="1F4E79"/>
          </w:tcPr>
          <w:p>
            <w:pPr>
              <w:spacing w:after="0"/>
              <w:jc w:val="center"/>
            </w:pPr>
            <w:r/>
            <w:r>
              <w:rPr>
                <w:b/>
                <w:i w:val="0"/>
                <w:color w:val="FFFFFF"/>
                <w:sz w:val="17"/>
              </w:rPr>
              <w:t>NYC Headcount (OSC)</w:t>
            </w:r>
          </w:p>
        </w:tc>
        <w:tc>
          <w:tcPr>
            <w:tcW w:type="dxa" w:w="1512"/>
            <w:shd w:val="clear" w:fill="1F4E79"/>
          </w:tcPr>
          <w:p>
            <w:pPr>
              <w:spacing w:after="0"/>
              <w:jc w:val="center"/>
            </w:pPr>
            <w:r/>
            <w:r>
              <w:rPr>
                <w:b/>
                <w:i w:val="0"/>
                <w:color w:val="FFFFFF"/>
                <w:sz w:val="17"/>
              </w:rPr>
              <w:t>NYC $ per Employee</w:t>
            </w:r>
          </w:p>
        </w:tc>
        <w:tc>
          <w:tcPr>
            <w:tcW w:type="dxa" w:w="1656"/>
            <w:shd w:val="clear" w:fill="1F4E79"/>
          </w:tcPr>
          <w:p>
            <w:pPr>
              <w:spacing w:after="0"/>
              <w:jc w:val="center"/>
            </w:pPr>
            <w:r/>
            <w:r>
              <w:rPr>
                <w:b/>
                <w:i w:val="0"/>
                <w:color w:val="FFFFFF"/>
                <w:sz w:val="17"/>
              </w:rPr>
              <w:t>Greenfield Personnel $</w:t>
            </w:r>
          </w:p>
        </w:tc>
        <w:tc>
          <w:tcPr>
            <w:tcW w:type="dxa" w:w="1512"/>
            <w:shd w:val="clear" w:fill="1F4E79"/>
          </w:tcPr>
          <w:p>
            <w:pPr>
              <w:spacing w:after="0"/>
              <w:jc w:val="center"/>
            </w:pPr>
            <w:r/>
            <w:r>
              <w:rPr>
                <w:b/>
                <w:i w:val="0"/>
                <w:color w:val="FFFFFF"/>
                <w:sz w:val="17"/>
              </w:rPr>
              <w:t>Greenfield $ per Filled</w:t>
            </w:r>
          </w:p>
        </w:tc>
        <w:tc>
          <w:tcPr>
            <w:tcW w:type="dxa" w:w="1224"/>
            <w:shd w:val="clear" w:fill="1F4E79"/>
          </w:tcPr>
          <w:p>
            <w:pPr>
              <w:spacing w:after="0"/>
              <w:jc w:val="center"/>
            </w:pPr>
            <w:r/>
            <w:r>
              <w:rPr>
                <w:b/>
                <w:i w:val="0"/>
                <w:color w:val="FFFFFF"/>
                <w:sz w:val="17"/>
              </w:rPr>
              <w:t>GF / NYC Ratio</w:t>
            </w:r>
          </w:p>
        </w:tc>
      </w:tr>
      <w:tr>
        <w:tc>
          <w:tcPr>
            <w:tcW w:type="dxa" w:w="1944"/>
          </w:tcPr>
          <w:p>
            <w:pPr>
              <w:spacing w:after="0"/>
            </w:pPr>
            <w:r/>
            <w:r>
              <w:rPr>
                <w:b w:val="0"/>
                <w:i w:val="0"/>
                <w:sz w:val="17"/>
              </w:rPr>
              <w:t>Parks &amp; Recreation</w:t>
            </w:r>
          </w:p>
        </w:tc>
        <w:tc>
          <w:tcPr>
            <w:tcW w:type="dxa" w:w="1656"/>
          </w:tcPr>
          <w:p>
            <w:pPr>
              <w:spacing w:after="0"/>
              <w:jc w:val="center"/>
            </w:pPr>
            <w:r/>
            <w:r>
              <w:rPr>
                <w:b w:val="0"/>
                <w:i w:val="0"/>
                <w:sz w:val="17"/>
              </w:rPr>
              <w:t>$1,910.1M</w:t>
            </w:r>
          </w:p>
        </w:tc>
        <w:tc>
          <w:tcPr>
            <w:tcW w:type="dxa" w:w="1512"/>
          </w:tcPr>
          <w:p>
            <w:pPr>
              <w:spacing w:after="0"/>
              <w:jc w:val="center"/>
            </w:pPr>
            <w:r/>
            <w:r>
              <w:rPr>
                <w:b w:val="0"/>
                <w:i w:val="0"/>
                <w:sz w:val="17"/>
              </w:rPr>
              <w:t>4,384</w:t>
            </w:r>
          </w:p>
        </w:tc>
        <w:tc>
          <w:tcPr>
            <w:tcW w:type="dxa" w:w="1512"/>
          </w:tcPr>
          <w:p>
            <w:pPr>
              <w:spacing w:after="0"/>
              <w:jc w:val="center"/>
            </w:pPr>
            <w:r/>
            <w:r>
              <w:rPr>
                <w:b w:val="0"/>
                <w:i w:val="0"/>
                <w:sz w:val="17"/>
              </w:rPr>
              <w:t>$435,701</w:t>
            </w:r>
          </w:p>
        </w:tc>
        <w:tc>
          <w:tcPr>
            <w:tcW w:type="dxa" w:w="1656"/>
          </w:tcPr>
          <w:p>
            <w:pPr>
              <w:spacing w:after="0"/>
              <w:jc w:val="center"/>
            </w:pPr>
            <w:r/>
            <w:r>
              <w:rPr>
                <w:b w:val="0"/>
                <w:i w:val="0"/>
                <w:sz w:val="17"/>
              </w:rPr>
              <w:t>$5,167,460 + OT</w:t>
            </w:r>
          </w:p>
        </w:tc>
        <w:tc>
          <w:tcPr>
            <w:tcW w:type="dxa" w:w="1512"/>
          </w:tcPr>
          <w:p>
            <w:pPr>
              <w:spacing w:after="0"/>
              <w:jc w:val="center"/>
            </w:pPr>
            <w:r/>
            <w:r>
              <w:rPr>
                <w:b w:val="0"/>
                <w:i w:val="0"/>
                <w:sz w:val="17"/>
              </w:rPr>
              <w:t>$46,977</w:t>
            </w:r>
          </w:p>
        </w:tc>
        <w:tc>
          <w:tcPr>
            <w:tcW w:type="dxa" w:w="1224"/>
          </w:tcPr>
          <w:p>
            <w:pPr>
              <w:spacing w:after="0"/>
              <w:jc w:val="center"/>
            </w:pPr>
            <w:r/>
            <w:r>
              <w:rPr>
                <w:b w:val="0"/>
                <w:i w:val="0"/>
                <w:sz w:val="17"/>
              </w:rPr>
              <w:t>10.8%</w:t>
            </w:r>
          </w:p>
        </w:tc>
      </w:tr>
      <w:tr>
        <w:tc>
          <w:tcPr>
            <w:tcW w:type="dxa" w:w="1944"/>
            <w:shd w:val="clear" w:fill="DDEBF7"/>
          </w:tcPr>
          <w:p>
            <w:pPr>
              <w:spacing w:after="0"/>
            </w:pPr>
            <w:r/>
            <w:r>
              <w:rPr>
                <w:b w:val="0"/>
                <w:i w:val="0"/>
                <w:sz w:val="17"/>
              </w:rPr>
              <w:t>Sanitation</w:t>
            </w:r>
          </w:p>
        </w:tc>
        <w:tc>
          <w:tcPr>
            <w:tcW w:type="dxa" w:w="1656"/>
            <w:shd w:val="clear" w:fill="DDEBF7"/>
          </w:tcPr>
          <w:p>
            <w:pPr>
              <w:spacing w:after="0"/>
              <w:jc w:val="center"/>
            </w:pPr>
            <w:r/>
            <w:r>
              <w:rPr>
                <w:b w:val="0"/>
                <w:i w:val="0"/>
                <w:sz w:val="17"/>
              </w:rPr>
              <w:t>$5,733.2M</w:t>
            </w:r>
          </w:p>
        </w:tc>
        <w:tc>
          <w:tcPr>
            <w:tcW w:type="dxa" w:w="1512"/>
            <w:shd w:val="clear" w:fill="DDEBF7"/>
          </w:tcPr>
          <w:p>
            <w:pPr>
              <w:spacing w:after="0"/>
              <w:jc w:val="center"/>
            </w:pPr>
            <w:r/>
            <w:r>
              <w:rPr>
                <w:b w:val="0"/>
                <w:i w:val="0"/>
                <w:sz w:val="17"/>
              </w:rPr>
              <w:t>10,137</w:t>
            </w:r>
          </w:p>
        </w:tc>
        <w:tc>
          <w:tcPr>
            <w:tcW w:type="dxa" w:w="1512"/>
            <w:shd w:val="clear" w:fill="DDEBF7"/>
          </w:tcPr>
          <w:p>
            <w:pPr>
              <w:spacing w:after="0"/>
              <w:jc w:val="center"/>
            </w:pPr>
            <w:r/>
            <w:r>
              <w:rPr>
                <w:b w:val="0"/>
                <w:i w:val="0"/>
                <w:sz w:val="17"/>
              </w:rPr>
              <w:t>$565,576</w:t>
            </w:r>
          </w:p>
        </w:tc>
        <w:tc>
          <w:tcPr>
            <w:tcW w:type="dxa" w:w="1656"/>
            <w:shd w:val="clear" w:fill="DDEBF7"/>
          </w:tcPr>
          <w:p>
            <w:pPr>
              <w:spacing w:after="0"/>
              <w:jc w:val="center"/>
            </w:pPr>
            <w:r/>
            <w:r>
              <w:rPr>
                <w:b w:val="0"/>
                <w:i w:val="0"/>
                <w:sz w:val="17"/>
              </w:rPr>
              <w:t>$4,936,977 + OT</w:t>
            </w:r>
          </w:p>
        </w:tc>
        <w:tc>
          <w:tcPr>
            <w:tcW w:type="dxa" w:w="1512"/>
            <w:shd w:val="clear" w:fill="DDEBF7"/>
          </w:tcPr>
          <w:p>
            <w:pPr>
              <w:spacing w:after="0"/>
              <w:jc w:val="center"/>
            </w:pPr>
            <w:r/>
            <w:r>
              <w:rPr>
                <w:b w:val="0"/>
                <w:i w:val="0"/>
                <w:sz w:val="17"/>
              </w:rPr>
              <w:t>$48,881</w:t>
            </w:r>
          </w:p>
        </w:tc>
        <w:tc>
          <w:tcPr>
            <w:tcW w:type="dxa" w:w="1224"/>
            <w:shd w:val="clear" w:fill="DDEBF7"/>
          </w:tcPr>
          <w:p>
            <w:pPr>
              <w:spacing w:after="0"/>
              <w:jc w:val="center"/>
            </w:pPr>
            <w:r/>
            <w:r>
              <w:rPr>
                <w:b w:val="0"/>
                <w:i w:val="0"/>
                <w:sz w:val="17"/>
              </w:rPr>
              <w:t>8.6%</w:t>
            </w:r>
          </w:p>
        </w:tc>
      </w:tr>
      <w:tr>
        <w:tc>
          <w:tcPr>
            <w:tcW w:type="dxa" w:w="1944"/>
          </w:tcPr>
          <w:p>
            <w:pPr>
              <w:spacing w:after="0"/>
            </w:pPr>
            <w:r/>
            <w:r>
              <w:rPr>
                <w:b w:val="0"/>
                <w:i w:val="0"/>
                <w:sz w:val="17"/>
              </w:rPr>
              <w:t>Transportation</w:t>
            </w:r>
          </w:p>
        </w:tc>
        <w:tc>
          <w:tcPr>
            <w:tcW w:type="dxa" w:w="1656"/>
          </w:tcPr>
          <w:p>
            <w:pPr>
              <w:spacing w:after="0"/>
              <w:jc w:val="center"/>
            </w:pPr>
            <w:r/>
            <w:r>
              <w:rPr>
                <w:b w:val="0"/>
                <w:i w:val="0"/>
                <w:sz w:val="17"/>
              </w:rPr>
              <w:t>$4,370.1M</w:t>
            </w:r>
          </w:p>
        </w:tc>
        <w:tc>
          <w:tcPr>
            <w:tcW w:type="dxa" w:w="1512"/>
          </w:tcPr>
          <w:p>
            <w:pPr>
              <w:spacing w:after="0"/>
              <w:jc w:val="center"/>
            </w:pPr>
            <w:r/>
            <w:r>
              <w:rPr>
                <w:b w:val="0"/>
                <w:i w:val="0"/>
                <w:sz w:val="17"/>
              </w:rPr>
              <w:t>5,117</w:t>
            </w:r>
          </w:p>
        </w:tc>
        <w:tc>
          <w:tcPr>
            <w:tcW w:type="dxa" w:w="1512"/>
          </w:tcPr>
          <w:p>
            <w:pPr>
              <w:spacing w:after="0"/>
              <w:jc w:val="center"/>
            </w:pPr>
            <w:r/>
            <w:r>
              <w:rPr>
                <w:b w:val="0"/>
                <w:i w:val="0"/>
                <w:sz w:val="17"/>
              </w:rPr>
              <w:t>$854,032</w:t>
            </w:r>
          </w:p>
        </w:tc>
        <w:tc>
          <w:tcPr>
            <w:tcW w:type="dxa" w:w="1656"/>
          </w:tcPr>
          <w:p>
            <w:pPr>
              <w:spacing w:after="0"/>
              <w:jc w:val="center"/>
            </w:pPr>
            <w:r/>
            <w:r>
              <w:rPr>
                <w:b w:val="0"/>
                <w:i w:val="0"/>
                <w:sz w:val="17"/>
              </w:rPr>
              <w:t>$6,188,779 + OT</w:t>
            </w:r>
          </w:p>
        </w:tc>
        <w:tc>
          <w:tcPr>
            <w:tcW w:type="dxa" w:w="1512"/>
          </w:tcPr>
          <w:p>
            <w:pPr>
              <w:spacing w:after="0"/>
              <w:jc w:val="center"/>
            </w:pPr>
            <w:r/>
            <w:r>
              <w:rPr>
                <w:b w:val="0"/>
                <w:i w:val="0"/>
                <w:sz w:val="17"/>
              </w:rPr>
              <w:t>$54,288</w:t>
            </w:r>
          </w:p>
        </w:tc>
        <w:tc>
          <w:tcPr>
            <w:tcW w:type="dxa" w:w="1224"/>
          </w:tcPr>
          <w:p>
            <w:pPr>
              <w:spacing w:after="0"/>
              <w:jc w:val="center"/>
            </w:pPr>
            <w:r/>
            <w:r>
              <w:rPr>
                <w:b w:val="0"/>
                <w:i w:val="0"/>
                <w:sz w:val="17"/>
              </w:rPr>
              <w:t>6.4%</w:t>
            </w:r>
          </w:p>
        </w:tc>
      </w:tr>
      <w:tr>
        <w:tc>
          <w:tcPr>
            <w:tcW w:type="dxa" w:w="1944"/>
            <w:shd w:val="clear" w:fill="DDEBF7"/>
          </w:tcPr>
          <w:p>
            <w:pPr>
              <w:spacing w:after="0"/>
            </w:pPr>
            <w:r/>
            <w:r>
              <w:rPr>
                <w:b w:val="0"/>
                <w:i w:val="0"/>
                <w:sz w:val="17"/>
              </w:rPr>
              <w:t>Health Services</w:t>
            </w:r>
          </w:p>
        </w:tc>
        <w:tc>
          <w:tcPr>
            <w:tcW w:type="dxa" w:w="1656"/>
            <w:shd w:val="clear" w:fill="DDEBF7"/>
          </w:tcPr>
          <w:p>
            <w:pPr>
              <w:spacing w:after="0"/>
              <w:jc w:val="center"/>
            </w:pPr>
            <w:r/>
            <w:r>
              <w:rPr>
                <w:b w:val="0"/>
                <w:i w:val="0"/>
                <w:sz w:val="17"/>
              </w:rPr>
              <w:t>$8,838.9M</w:t>
            </w:r>
          </w:p>
        </w:tc>
        <w:tc>
          <w:tcPr>
            <w:tcW w:type="dxa" w:w="1512"/>
            <w:shd w:val="clear" w:fill="DDEBF7"/>
          </w:tcPr>
          <w:p>
            <w:pPr>
              <w:spacing w:after="0"/>
              <w:jc w:val="center"/>
            </w:pPr>
            <w:r/>
            <w:r>
              <w:rPr>
                <w:b w:val="0"/>
                <w:i w:val="0"/>
                <w:sz w:val="17"/>
              </w:rPr>
              <w:t>5,355</w:t>
            </w:r>
          </w:p>
        </w:tc>
        <w:tc>
          <w:tcPr>
            <w:tcW w:type="dxa" w:w="1512"/>
            <w:shd w:val="clear" w:fill="DDEBF7"/>
          </w:tcPr>
          <w:p>
            <w:pPr>
              <w:spacing w:after="0"/>
              <w:jc w:val="center"/>
            </w:pPr>
            <w:r/>
            <w:r>
              <w:rPr>
                <w:b w:val="0"/>
                <w:i w:val="0"/>
                <w:sz w:val="17"/>
              </w:rPr>
              <w:t>$1,650,580</w:t>
            </w:r>
          </w:p>
        </w:tc>
        <w:tc>
          <w:tcPr>
            <w:tcW w:type="dxa" w:w="1656"/>
            <w:shd w:val="clear" w:fill="DDEBF7"/>
          </w:tcPr>
          <w:p>
            <w:pPr>
              <w:spacing w:after="0"/>
              <w:jc w:val="center"/>
            </w:pPr>
            <w:r/>
            <w:r>
              <w:rPr>
                <w:b w:val="0"/>
                <w:i w:val="0"/>
                <w:sz w:val="17"/>
              </w:rPr>
              <w:t>$5,360,490 + OT</w:t>
            </w:r>
          </w:p>
        </w:tc>
        <w:tc>
          <w:tcPr>
            <w:tcW w:type="dxa" w:w="1512"/>
            <w:shd w:val="clear" w:fill="DDEBF7"/>
          </w:tcPr>
          <w:p>
            <w:pPr>
              <w:spacing w:after="0"/>
              <w:jc w:val="center"/>
            </w:pPr>
            <w:r/>
            <w:r>
              <w:rPr>
                <w:b w:val="0"/>
                <w:i w:val="0"/>
                <w:sz w:val="17"/>
              </w:rPr>
              <w:t>$67,006</w:t>
            </w:r>
          </w:p>
        </w:tc>
        <w:tc>
          <w:tcPr>
            <w:tcW w:type="dxa" w:w="1224"/>
            <w:shd w:val="clear" w:fill="DDEBF7"/>
          </w:tcPr>
          <w:p>
            <w:pPr>
              <w:spacing w:after="0"/>
              <w:jc w:val="center"/>
            </w:pPr>
            <w:r/>
            <w:r>
              <w:rPr>
                <w:b w:val="0"/>
                <w:i w:val="0"/>
                <w:sz w:val="17"/>
              </w:rPr>
              <w:t>4.1%</w:t>
            </w:r>
          </w:p>
        </w:tc>
      </w:tr>
      <w:tr>
        <w:tc>
          <w:tcPr>
            <w:tcW w:type="dxa" w:w="1944"/>
          </w:tcPr>
          <w:p>
            <w:pPr>
              <w:spacing w:after="0"/>
            </w:pPr>
            <w:r/>
            <w:r>
              <w:rPr>
                <w:b w:val="0"/>
                <w:i w:val="0"/>
                <w:sz w:val="17"/>
              </w:rPr>
              <w:t>Fire Department</w:t>
            </w:r>
          </w:p>
        </w:tc>
        <w:tc>
          <w:tcPr>
            <w:tcW w:type="dxa" w:w="1656"/>
          </w:tcPr>
          <w:p>
            <w:pPr>
              <w:spacing w:after="0"/>
              <w:jc w:val="center"/>
            </w:pPr>
            <w:r/>
            <w:r>
              <w:rPr>
                <w:b w:val="0"/>
                <w:i w:val="0"/>
                <w:sz w:val="17"/>
              </w:rPr>
              <w:t>$7,481.3M</w:t>
            </w:r>
          </w:p>
        </w:tc>
        <w:tc>
          <w:tcPr>
            <w:tcW w:type="dxa" w:w="1512"/>
          </w:tcPr>
          <w:p>
            <w:pPr>
              <w:spacing w:after="0"/>
              <w:jc w:val="center"/>
            </w:pPr>
            <w:r/>
            <w:r>
              <w:rPr>
                <w:b w:val="0"/>
                <w:i w:val="0"/>
                <w:sz w:val="17"/>
              </w:rPr>
              <w:t>17,016</w:t>
            </w:r>
          </w:p>
        </w:tc>
        <w:tc>
          <w:tcPr>
            <w:tcW w:type="dxa" w:w="1512"/>
          </w:tcPr>
          <w:p>
            <w:pPr>
              <w:spacing w:after="0"/>
              <w:jc w:val="center"/>
            </w:pPr>
            <w:r/>
            <w:r>
              <w:rPr>
                <w:b w:val="0"/>
                <w:i w:val="0"/>
                <w:sz w:val="17"/>
              </w:rPr>
              <w:t>$439,665</w:t>
            </w:r>
          </w:p>
        </w:tc>
        <w:tc>
          <w:tcPr>
            <w:tcW w:type="dxa" w:w="1656"/>
          </w:tcPr>
          <w:p>
            <w:pPr>
              <w:spacing w:after="0"/>
              <w:jc w:val="center"/>
            </w:pPr>
            <w:r/>
            <w:r>
              <w:rPr>
                <w:b w:val="0"/>
                <w:i w:val="0"/>
                <w:sz w:val="17"/>
              </w:rPr>
              <w:t>$11,090,712 + OT</w:t>
            </w:r>
          </w:p>
        </w:tc>
        <w:tc>
          <w:tcPr>
            <w:tcW w:type="dxa" w:w="1512"/>
          </w:tcPr>
          <w:p>
            <w:pPr>
              <w:spacing w:after="0"/>
              <w:jc w:val="center"/>
            </w:pPr>
            <w:r/>
            <w:r>
              <w:rPr>
                <w:b w:val="0"/>
                <w:i w:val="0"/>
                <w:sz w:val="17"/>
              </w:rPr>
              <w:t>$80,954</w:t>
            </w:r>
          </w:p>
        </w:tc>
        <w:tc>
          <w:tcPr>
            <w:tcW w:type="dxa" w:w="1224"/>
          </w:tcPr>
          <w:p>
            <w:pPr>
              <w:spacing w:after="0"/>
              <w:jc w:val="center"/>
            </w:pPr>
            <w:r/>
            <w:r>
              <w:rPr>
                <w:b w:val="0"/>
                <w:i w:val="0"/>
                <w:sz w:val="17"/>
              </w:rPr>
              <w:t>18.4%</w:t>
            </w:r>
          </w:p>
        </w:tc>
      </w:tr>
    </w:tbl>
    <w:p>
      <w:pPr>
        <w:spacing w:before="40" w:after="160"/>
      </w:pPr>
      <w:r>
        <w:rPr>
          <w:i/>
          <w:color w:val="404040"/>
          <w:sz w:val="17"/>
        </w:rPr>
        <w:t>Table 5 — NYC FY2024 modified expense budgets ÷ OSC-appointed headcounts vs Greenfield payroll+OT ÷ filled positions. NYC figures include fringe benefits and OTPS; ratios are directional sizing aids, not parity targets.</w:t>
      </w:r>
    </w:p>
    <w:p>
      <w:pPr>
        <w:pStyle w:val="Heading1"/>
      </w:pPr>
      <w:r>
        <w:t>4. Proposal A — "Consolidate" (Evaluation on Four Lenses)</w:t>
      </w:r>
    </w:p>
    <w:p>
      <w:pPr>
        <w:spacing w:after="120"/>
      </w:pPr>
      <w:r>
        <w:rPr>
          <w:b w:val="0"/>
          <w:i w:val="0"/>
          <w:sz w:val="21"/>
        </w:rPr>
        <w:t>Design: Health Services + Parks &amp; Recreation → Community Wellness (212 authorized / 190 filled / 22 vacant, 10.4%; OT $979,350 at a blended $36.78/hr). Sanitation + Transportation → Public Works (242 / 215 / 27, 11.2%; OT $1,289,856 at $32.76/hr). Fire unchanged.</w:t>
      </w:r>
    </w:p>
    <w:p>
      <w:pPr>
        <w:pStyle w:val="Heading2"/>
      </w:pPr>
      <w:r>
        <w:t>4.1 Process bottlenecks</w:t>
      </w:r>
    </w:p>
    <w:p>
      <w:pPr>
        <w:spacing w:after="120"/>
      </w:pPr>
      <w:r>
        <w:rPr>
          <w:b w:val="0"/>
          <w:i w:val="0"/>
          <w:sz w:val="21"/>
        </w:rPr>
        <w:t>A relies on shared management spans and consolidated back offices to release 4 duplicated administrative FTE at $85,000 loaded cost each ($340,000). It does not touch the manual-process bottleneck documented in Section 2.5: modeled average SLA lift on the eight red processes is +2.9 points, leaving 6 of 8 below threshold. Street Resurfacing (48.3%) and Fire Plan Review (59.6%) receive zero modeled lift — the city’s two worst citizen-visible processes are unchanged.</w:t>
      </w:r>
    </w:p>
    <w:p>
      <w:pPr>
        <w:pStyle w:val="Heading2"/>
      </w:pPr>
      <w:r>
        <w:t>4.2 Overtime cost structure</w:t>
      </w:r>
    </w:p>
    <w:p>
      <w:pPr>
        <w:spacing w:after="120"/>
      </w:pPr>
      <w:r>
        <w:rPr>
          <w:b w:val="0"/>
          <w:i w:val="0"/>
          <w:sz w:val="21"/>
        </w:rPr>
        <w:t>Modeled savings: Public Works OT −10% ($128,986) and Community Wellness OT −5% ($48,968). The merger does not touch Fire — 47.9% of citywide overtime — and blends Parks’ lower-rate hours ($32.50/hr) with Health’s higher-rate hours ($41.50/hr), diluting the weighted rate the same headcount buys. The 10% Public Works reduction also assumes routing flexibility across Sanitation and Transportation that current bargaining-unit and licensing distinctions do not yet support (Assumption A-4).</w:t>
      </w:r>
    </w:p>
    <w:p>
      <w:pPr>
        <w:pStyle w:val="Heading2"/>
      </w:pPr>
      <w:r>
        <w:t>4.3 Service-delivery risk</w:t>
      </w:r>
    </w:p>
    <w:p>
      <w:pPr>
        <w:spacing w:after="120"/>
      </w:pPr>
      <w:r>
        <w:rPr>
          <w:b w:val="0"/>
          <w:i w:val="0"/>
          <w:sz w:val="21"/>
        </w:rPr>
        <w:t>Merging two 311 intake categories and two service catalogs risks a transition dip: large-agency mergers typically require 12–18 months of process re-stabilization. The model carries current cycle times forward, but the 63 open 311 requests — including 44 already beyond 30 days — would transfer to new queue ownership mid-stream. Health Services’ high-priority response (13.9 days, worst in the city) would inherit Parks’ lower-cost staffing pool: a quality risk for time-critical public-health work. Modeled citywide 311 average improves only from 10.8 to 10.2 days.</w:t>
      </w:r>
    </w:p>
    <w:p>
      <w:pPr>
        <w:pStyle w:val="Heading2"/>
      </w:pPr>
      <w:r>
        <w:t>4.4 Workforce feasibility</w:t>
      </w:r>
    </w:p>
    <w:p>
      <w:pPr>
        <w:spacing w:after="120"/>
      </w:pPr>
      <w:r>
        <w:rPr>
          <w:b w:val="0"/>
          <w:i w:val="0"/>
          <w:sz w:val="21"/>
        </w:rPr>
        <w:t>The four de-duplicated FTE must materialize through attrition whose timing is not guaranteed; forced reductions in a 9.1%-vacancy labor market would compound the attrition problem NYC documented (25,966 separations in FY2023 alone). Vacancy concentration is unchanged: the two merged departments would hold 49 of the city’s 54 vacancies, with Public Works at 11.2% and Community Wellness at 10.4% — nearer to, not below, trigger levels. Consolidation concentrates the problem it claims to solve.</w:t>
      </w:r>
    </w:p>
    <w:p>
      <w:pPr>
        <w:pStyle w:val="Heading2"/>
      </w:pPr>
      <w:r>
        <w:t>4.5 Financial summary — Proposal A</w:t>
      </w:r>
    </w:p>
    <w:tbl>
      <w:tblPr>
        <w:tblStyle w:val="TableGrid"/>
        <w:tblW w:type="auto" w:w="0"/>
        <w:jc w:val="center"/>
        <w:tblLook w:firstColumn="1" w:firstRow="1" w:lastColumn="0" w:lastRow="0" w:noHBand="0" w:noVBand="1" w:val="04A0"/>
      </w:tblPr>
      <w:tblGrid>
        <w:gridCol w:w="4680"/>
        <w:gridCol w:w="4680"/>
      </w:tblGrid>
      <w:tr>
        <w:tc>
          <w:tcPr>
            <w:tcW w:type="dxa" w:w="7056"/>
            <w:shd w:val="clear" w:fill="1F4E79"/>
          </w:tcPr>
          <w:p>
            <w:pPr>
              <w:spacing w:after="0"/>
              <w:jc w:val="center"/>
            </w:pPr>
            <w:r/>
            <w:r>
              <w:rPr>
                <w:b/>
                <w:i w:val="0"/>
                <w:color w:val="FFFFFF"/>
                <w:sz w:val="18"/>
              </w:rPr>
              <w:t>Component</w:t>
            </w:r>
          </w:p>
        </w:tc>
        <w:tc>
          <w:tcPr>
            <w:tcW w:type="dxa" w:w="2736"/>
            <w:shd w:val="clear" w:fill="1F4E79"/>
          </w:tcPr>
          <w:p>
            <w:pPr>
              <w:spacing w:after="0"/>
              <w:jc w:val="center"/>
            </w:pPr>
            <w:r/>
            <w:r>
              <w:rPr>
                <w:b/>
                <w:i w:val="0"/>
                <w:color w:val="FFFFFF"/>
                <w:sz w:val="18"/>
              </w:rPr>
              <w:t>Amount</w:t>
            </w:r>
          </w:p>
        </w:tc>
      </w:tr>
      <w:tr>
        <w:tc>
          <w:tcPr>
            <w:tcW w:type="dxa" w:w="7056"/>
          </w:tcPr>
          <w:p>
            <w:pPr>
              <w:spacing w:after="0"/>
            </w:pPr>
            <w:r/>
            <w:r>
              <w:rPr>
                <w:b w:val="0"/>
                <w:i w:val="0"/>
                <w:sz w:val="18"/>
              </w:rPr>
              <w:t>De-duplication of administrative FTE (4 × $85,000)</w:t>
            </w:r>
          </w:p>
        </w:tc>
        <w:tc>
          <w:tcPr>
            <w:tcW w:type="dxa" w:w="2736"/>
          </w:tcPr>
          <w:p>
            <w:pPr>
              <w:spacing w:after="0"/>
              <w:jc w:val="center"/>
            </w:pPr>
            <w:r/>
            <w:r>
              <w:rPr>
                <w:b w:val="0"/>
                <w:i w:val="0"/>
                <w:sz w:val="18"/>
              </w:rPr>
              <w:t>$340,000</w:t>
            </w:r>
          </w:p>
        </w:tc>
      </w:tr>
      <w:tr>
        <w:tc>
          <w:tcPr>
            <w:tcW w:type="dxa" w:w="7056"/>
            <w:shd w:val="clear" w:fill="DDEBF7"/>
          </w:tcPr>
          <w:p>
            <w:pPr>
              <w:spacing w:after="0"/>
            </w:pPr>
            <w:r/>
            <w:r>
              <w:rPr>
                <w:b w:val="0"/>
                <w:i w:val="0"/>
                <w:sz w:val="18"/>
              </w:rPr>
              <w:t>Public Works overtime reduction (−10% of $1,289,856)</w:t>
            </w:r>
          </w:p>
        </w:tc>
        <w:tc>
          <w:tcPr>
            <w:tcW w:type="dxa" w:w="2736"/>
            <w:shd w:val="clear" w:fill="DDEBF7"/>
          </w:tcPr>
          <w:p>
            <w:pPr>
              <w:spacing w:after="0"/>
              <w:jc w:val="center"/>
            </w:pPr>
            <w:r/>
            <w:r>
              <w:rPr>
                <w:b w:val="0"/>
                <w:i w:val="0"/>
                <w:sz w:val="18"/>
              </w:rPr>
              <w:t>$128,986</w:t>
            </w:r>
          </w:p>
        </w:tc>
      </w:tr>
      <w:tr>
        <w:tc>
          <w:tcPr>
            <w:tcW w:type="dxa" w:w="7056"/>
          </w:tcPr>
          <w:p>
            <w:pPr>
              <w:spacing w:after="0"/>
            </w:pPr>
            <w:r/>
            <w:r>
              <w:rPr>
                <w:b w:val="0"/>
                <w:i w:val="0"/>
                <w:sz w:val="18"/>
              </w:rPr>
              <w:t>Community Wellness overtime reduction (−5% of $979,350)</w:t>
            </w:r>
          </w:p>
        </w:tc>
        <w:tc>
          <w:tcPr>
            <w:tcW w:type="dxa" w:w="2736"/>
          </w:tcPr>
          <w:p>
            <w:pPr>
              <w:spacing w:after="0"/>
              <w:jc w:val="center"/>
            </w:pPr>
            <w:r/>
            <w:r>
              <w:rPr>
                <w:b w:val="0"/>
                <w:i w:val="0"/>
                <w:sz w:val="18"/>
              </w:rPr>
              <w:t>$48,968</w:t>
            </w:r>
          </w:p>
        </w:tc>
      </w:tr>
      <w:tr>
        <w:tc>
          <w:tcPr>
            <w:tcW w:type="dxa" w:w="7056"/>
            <w:shd w:val="clear" w:fill="DDEBF7"/>
          </w:tcPr>
          <w:p>
            <w:pPr>
              <w:spacing w:after="0"/>
            </w:pPr>
            <w:r/>
            <w:r>
              <w:rPr>
                <w:b w:val="0"/>
                <w:i w:val="0"/>
                <w:sz w:val="18"/>
              </w:rPr>
              <w:t>Total annual savings</w:t>
            </w:r>
          </w:p>
        </w:tc>
        <w:tc>
          <w:tcPr>
            <w:tcW w:type="dxa" w:w="2736"/>
            <w:shd w:val="clear" w:fill="DDEBF7"/>
          </w:tcPr>
          <w:p>
            <w:pPr>
              <w:spacing w:after="0"/>
              <w:jc w:val="center"/>
            </w:pPr>
            <w:r/>
            <w:r>
              <w:rPr>
                <w:b w:val="0"/>
                <w:i w:val="0"/>
                <w:sz w:val="18"/>
              </w:rPr>
              <w:t>$517,954</w:t>
            </w:r>
          </w:p>
        </w:tc>
      </w:tr>
      <w:tr>
        <w:tc>
          <w:tcPr>
            <w:tcW w:type="dxa" w:w="7056"/>
          </w:tcPr>
          <w:p>
            <w:pPr>
              <w:spacing w:after="0"/>
            </w:pPr>
            <w:r/>
            <w:r>
              <w:rPr>
                <w:b w:val="0"/>
                <w:i w:val="0"/>
                <w:sz w:val="18"/>
              </w:rPr>
              <w:t>One-time implementation (systems, HR, legal)</w:t>
            </w:r>
          </w:p>
        </w:tc>
        <w:tc>
          <w:tcPr>
            <w:tcW w:type="dxa" w:w="2736"/>
          </w:tcPr>
          <w:p>
            <w:pPr>
              <w:spacing w:after="0"/>
              <w:jc w:val="center"/>
            </w:pPr>
            <w:r/>
            <w:r>
              <w:rPr>
                <w:b w:val="0"/>
                <w:i w:val="0"/>
                <w:sz w:val="18"/>
              </w:rPr>
              <w:t>($150,000)</w:t>
            </w:r>
          </w:p>
        </w:tc>
      </w:tr>
      <w:tr>
        <w:tc>
          <w:tcPr>
            <w:tcW w:type="dxa" w:w="7056"/>
            <w:shd w:val="clear" w:fill="DDEBF7"/>
          </w:tcPr>
          <w:p>
            <w:pPr>
              <w:spacing w:after="0"/>
            </w:pPr>
            <w:r/>
            <w:r>
              <w:rPr>
                <w:b w:val="0"/>
                <w:i w:val="0"/>
                <w:sz w:val="18"/>
              </w:rPr>
              <w:t>Year-1 net (50% savings realization)</w:t>
            </w:r>
          </w:p>
        </w:tc>
        <w:tc>
          <w:tcPr>
            <w:tcW w:type="dxa" w:w="2736"/>
            <w:shd w:val="clear" w:fill="DDEBF7"/>
          </w:tcPr>
          <w:p>
            <w:pPr>
              <w:spacing w:after="0"/>
              <w:jc w:val="center"/>
            </w:pPr>
            <w:r/>
            <w:r>
              <w:rPr>
                <w:b w:val="0"/>
                <w:i w:val="0"/>
                <w:sz w:val="18"/>
              </w:rPr>
              <w:t>$108,977</w:t>
            </w:r>
          </w:p>
        </w:tc>
      </w:tr>
    </w:tbl>
    <w:p>
      <w:pPr>
        <w:spacing w:before="40" w:after="160"/>
      </w:pPr>
      <w:r>
        <w:rPr>
          <w:i/>
          <w:color w:val="404040"/>
          <w:sz w:val="17"/>
        </w:rPr>
        <w:t>Table 6 — Proposal A financial model. FTE reallocated to service delivery: 4.</w:t>
      </w:r>
    </w:p>
    <w:p>
      <w:pPr>
        <w:pStyle w:val="Heading1"/>
      </w:pPr>
      <w:r>
        <w:t>5. Proposal B — "Targeted Fix" (Evaluation on Four Lenses)</w:t>
      </w:r>
    </w:p>
    <w:p>
      <w:pPr>
        <w:spacing w:after="120"/>
      </w:pPr>
      <w:r>
        <w:rPr>
          <w:b w:val="0"/>
          <w:i w:val="0"/>
          <w:sz w:val="21"/>
        </w:rPr>
        <w:t>Design: retain five departments. (i) A centralized hiring unit (2 HR FTE, $150,000/yr) covering the eight divisions above the 12% vacancy trigger (230 authorized, 36 vacant, 15.7%). (ii) 20 targeted hires (12 Transportation, 8 Health Services) plus 5 Fire Department position fills. (iii) A 40-person cross-training pool (12 Parks, 14 Sanitation, 14 Transportation) with shared overtime budget authority for departments exceeding the 10% OT threshold.</w:t>
      </w:r>
    </w:p>
    <w:p>
      <w:pPr>
        <w:pStyle w:val="Heading2"/>
      </w:pPr>
      <w:r>
        <w:t>5.1 Process bottlenecks</w:t>
      </w:r>
    </w:p>
    <w:p>
      <w:pPr>
        <w:spacing w:after="120"/>
      </w:pPr>
      <w:r>
        <w:rPr>
          <w:b w:val="0"/>
          <w:i w:val="0"/>
          <w:sz w:val="21"/>
        </w:rPr>
        <w:t>B’s modeled SLA lift on the eight red processes averages +6.9 points (Street Resurfacing +10 to 58.3%; Illegal Dumping +8 to 62.2%; Transit Route Change +6 to 61.1%; Bulk Pickup +8 to 66.1%; Plan Review +6 to 65.6%; Sidewalk Repair +6 to 67.7%; Tree Removal +5 to 67.4%; Environmental Complaint +6 to 70.1%), reducing below-threshold processes from 8 to 3 — the largest improvement of any option — by adding field capacity exactly where the backlogs sit. The residual red processes require the automation triage in Section 7.</w:t>
      </w:r>
    </w:p>
    <w:p>
      <w:pPr>
        <w:pStyle w:val="Heading2"/>
      </w:pPr>
      <w:r>
        <w:t>5.2 Overtime cost structure</w:t>
      </w:r>
    </w:p>
    <w:p>
      <w:pPr>
        <w:spacing w:after="120"/>
      </w:pPr>
      <w:r>
        <w:rPr>
          <w:b w:val="0"/>
          <w:i w:val="0"/>
          <w:sz w:val="21"/>
        </w:rPr>
        <w:t>Savings are built from the trigger evidence, not across-the-board cuts: cross-training capacity yields Sanitation −$97,032 and Parks −$45,396 ($142,428 combined; the complementary seasonal cycles make the pool productive year-round). For Fire, the model quantifies structural excess at 13,618 hours ($653,664): five fills absorb 7,500 hours ($360,000 of OT avoided at $48.00/hr) against $328,665 of in-budget payroll reallocation, and scheduling reform captures a further $189,563 (29% of residual excess hours), leaving a manageable $104,112 residual (2169 hours) to carry into FY2026. Proposal A leaves this entire exposure untouched.</w:t>
      </w:r>
    </w:p>
    <w:p>
      <w:pPr>
        <w:pStyle w:val="Heading2"/>
      </w:pPr>
      <w:r>
        <w:t>5.3 Service-delivery risk</w:t>
      </w:r>
    </w:p>
    <w:p>
      <w:pPr>
        <w:spacing w:after="120"/>
      </w:pPr>
      <w:r>
        <w:rPr>
          <w:b w:val="0"/>
          <w:i w:val="0"/>
          <w:sz w:val="21"/>
        </w:rPr>
        <w:t>The lowest-risk option: no department boundaries change, 311 queue ownership is stable, and hires land in exactly the divisions with the worst service metrics (all four Transportation divisions, all four Health Services divisions). Modeled citywide 311 average improves from 10.8 to 9.5 days. Risk concentrates in hiring-market feasibility — 20 competitive hires in a tight market — mitigated by the centralized hiring unit and phased onboarding (Assumption B-3).</w:t>
      </w:r>
    </w:p>
    <w:p>
      <w:pPr>
        <w:pStyle w:val="Heading2"/>
      </w:pPr>
      <w:r>
        <w:t>5.4 Workforce feasibility</w:t>
      </w:r>
    </w:p>
    <w:p>
      <w:pPr>
        <w:spacing w:after="120"/>
      </w:pPr>
      <w:r>
        <w:rPr>
          <w:b w:val="0"/>
          <w:i w:val="0"/>
          <w:sz w:val="21"/>
        </w:rPr>
        <w:t>Citywide vacancy falls from 9.1% to 4.9% (Transportation 14.9% → 6.0%; Health Services 16.7% → 8.3%; Fire 3.5% → 0.0%) — at or below every NYC analog (DOT 10.0%, DOHMH 9.3%). 27 FTE are mobilized (20 hires + 5 fills + 2 HR). Because turnover in the target divisions runs 15.2–26.1%, sustained relief depends on retention — which the cross-training pool and scheduling relief directly fund.</w:t>
      </w:r>
    </w:p>
    <w:p>
      <w:pPr>
        <w:pStyle w:val="Heading2"/>
      </w:pPr>
      <w:r>
        <w:t>5.5 Financial summary — Proposal B</w:t>
      </w:r>
    </w:p>
    <w:tbl>
      <w:tblPr>
        <w:tblStyle w:val="TableGrid"/>
        <w:tblW w:type="auto" w:w="0"/>
        <w:jc w:val="center"/>
        <w:tblLook w:firstColumn="1" w:firstRow="1" w:lastColumn="0" w:lastRow="0" w:noHBand="0" w:noVBand="1" w:val="04A0"/>
      </w:tblPr>
      <w:tblGrid>
        <w:gridCol w:w="4680"/>
        <w:gridCol w:w="4680"/>
      </w:tblGrid>
      <w:tr>
        <w:tc>
          <w:tcPr>
            <w:tcW w:type="dxa" w:w="7056"/>
            <w:shd w:val="clear" w:fill="1F4E79"/>
          </w:tcPr>
          <w:p>
            <w:pPr>
              <w:spacing w:after="0"/>
              <w:jc w:val="center"/>
            </w:pPr>
            <w:r/>
            <w:r>
              <w:rPr>
                <w:b/>
                <w:i w:val="0"/>
                <w:color w:val="FFFFFF"/>
                <w:sz w:val="18"/>
              </w:rPr>
              <w:t>Component</w:t>
            </w:r>
          </w:p>
        </w:tc>
        <w:tc>
          <w:tcPr>
            <w:tcW w:type="dxa" w:w="2736"/>
            <w:shd w:val="clear" w:fill="1F4E79"/>
          </w:tcPr>
          <w:p>
            <w:pPr>
              <w:spacing w:after="0"/>
              <w:jc w:val="center"/>
            </w:pPr>
            <w:r/>
            <w:r>
              <w:rPr>
                <w:b/>
                <w:i w:val="0"/>
                <w:color w:val="FFFFFF"/>
                <w:sz w:val="18"/>
              </w:rPr>
              <w:t>Amount</w:t>
            </w:r>
          </w:p>
        </w:tc>
      </w:tr>
      <w:tr>
        <w:tc>
          <w:tcPr>
            <w:tcW w:type="dxa" w:w="7056"/>
          </w:tcPr>
          <w:p>
            <w:pPr>
              <w:spacing w:after="0"/>
            </w:pPr>
            <w:r/>
            <w:r>
              <w:rPr>
                <w:b w:val="0"/>
                <w:i w:val="0"/>
                <w:sz w:val="18"/>
              </w:rPr>
              <w:t>Cross-training OT savings — Sanitation (9.8% OT, winter-peaked)</w:t>
            </w:r>
          </w:p>
        </w:tc>
        <w:tc>
          <w:tcPr>
            <w:tcW w:type="dxa" w:w="2736"/>
          </w:tcPr>
          <w:p>
            <w:pPr>
              <w:spacing w:after="0"/>
              <w:jc w:val="center"/>
            </w:pPr>
            <w:r/>
            <w:r>
              <w:rPr>
                <w:b w:val="0"/>
                <w:i w:val="0"/>
                <w:sz w:val="18"/>
              </w:rPr>
              <w:t>$97,032</w:t>
            </w:r>
          </w:p>
        </w:tc>
      </w:tr>
      <w:tr>
        <w:tc>
          <w:tcPr>
            <w:tcW w:type="dxa" w:w="7056"/>
            <w:shd w:val="clear" w:fill="DDEBF7"/>
          </w:tcPr>
          <w:p>
            <w:pPr>
              <w:spacing w:after="0"/>
            </w:pPr>
            <w:r/>
            <w:r>
              <w:rPr>
                <w:b w:val="0"/>
                <w:i w:val="0"/>
                <w:sz w:val="18"/>
              </w:rPr>
              <w:t>Cross-training OT savings — Parks (6.1% OT, summer-peaked)</w:t>
            </w:r>
          </w:p>
        </w:tc>
        <w:tc>
          <w:tcPr>
            <w:tcW w:type="dxa" w:w="2736"/>
            <w:shd w:val="clear" w:fill="DDEBF7"/>
          </w:tcPr>
          <w:p>
            <w:pPr>
              <w:spacing w:after="0"/>
              <w:jc w:val="center"/>
            </w:pPr>
            <w:r/>
            <w:r>
              <w:rPr>
                <w:b w:val="0"/>
                <w:i w:val="0"/>
                <w:sz w:val="18"/>
              </w:rPr>
              <w:t>$45,396</w:t>
            </w:r>
          </w:p>
        </w:tc>
      </w:tr>
      <w:tr>
        <w:tc>
          <w:tcPr>
            <w:tcW w:type="dxa" w:w="7056"/>
          </w:tcPr>
          <w:p>
            <w:pPr>
              <w:spacing w:after="0"/>
            </w:pPr>
            <w:r/>
            <w:r>
              <w:rPr>
                <w:b w:val="0"/>
                <w:i w:val="0"/>
                <w:sz w:val="18"/>
              </w:rPr>
              <w:t>Fire: 5 fills absorbing 7,500 excess OT hours</w:t>
            </w:r>
          </w:p>
        </w:tc>
        <w:tc>
          <w:tcPr>
            <w:tcW w:type="dxa" w:w="2736"/>
          </w:tcPr>
          <w:p>
            <w:pPr>
              <w:spacing w:after="0"/>
              <w:jc w:val="center"/>
            </w:pPr>
            <w:r/>
            <w:r>
              <w:rPr>
                <w:b w:val="0"/>
                <w:i w:val="0"/>
                <w:sz w:val="18"/>
              </w:rPr>
              <w:t>$360,000</w:t>
            </w:r>
          </w:p>
        </w:tc>
      </w:tr>
      <w:tr>
        <w:tc>
          <w:tcPr>
            <w:tcW w:type="dxa" w:w="7056"/>
            <w:shd w:val="clear" w:fill="DDEBF7"/>
          </w:tcPr>
          <w:p>
            <w:pPr>
              <w:spacing w:after="0"/>
            </w:pPr>
            <w:r/>
            <w:r>
              <w:rPr>
                <w:b w:val="0"/>
                <w:i w:val="0"/>
                <w:sz w:val="18"/>
              </w:rPr>
              <w:t>Fire: scheduling reform on residual excess</w:t>
            </w:r>
          </w:p>
        </w:tc>
        <w:tc>
          <w:tcPr>
            <w:tcW w:type="dxa" w:w="2736"/>
            <w:shd w:val="clear" w:fill="DDEBF7"/>
          </w:tcPr>
          <w:p>
            <w:pPr>
              <w:spacing w:after="0"/>
              <w:jc w:val="center"/>
            </w:pPr>
            <w:r/>
            <w:r>
              <w:rPr>
                <w:b w:val="0"/>
                <w:i w:val="0"/>
                <w:sz w:val="18"/>
              </w:rPr>
              <w:t>$189,563</w:t>
            </w:r>
          </w:p>
        </w:tc>
      </w:tr>
      <w:tr>
        <w:tc>
          <w:tcPr>
            <w:tcW w:type="dxa" w:w="7056"/>
          </w:tcPr>
          <w:p>
            <w:pPr>
              <w:spacing w:after="0"/>
            </w:pPr>
            <w:r/>
            <w:r>
              <w:rPr>
                <w:b w:val="0"/>
                <w:i w:val="0"/>
                <w:sz w:val="18"/>
              </w:rPr>
              <w:t>Less: Fire fill payroll (in-budget reallocation)</w:t>
            </w:r>
          </w:p>
        </w:tc>
        <w:tc>
          <w:tcPr>
            <w:tcW w:type="dxa" w:w="2736"/>
          </w:tcPr>
          <w:p>
            <w:pPr>
              <w:spacing w:after="0"/>
              <w:jc w:val="center"/>
            </w:pPr>
            <w:r/>
            <w:r>
              <w:rPr>
                <w:b w:val="0"/>
                <w:i w:val="0"/>
                <w:sz w:val="18"/>
              </w:rPr>
              <w:t>($328,665)</w:t>
            </w:r>
          </w:p>
        </w:tc>
      </w:tr>
      <w:tr>
        <w:tc>
          <w:tcPr>
            <w:tcW w:type="dxa" w:w="7056"/>
            <w:shd w:val="clear" w:fill="DDEBF7"/>
          </w:tcPr>
          <w:p>
            <w:pPr>
              <w:spacing w:after="0"/>
            </w:pPr>
            <w:r/>
            <w:r>
              <w:rPr>
                <w:b w:val="0"/>
                <w:i w:val="0"/>
                <w:sz w:val="18"/>
              </w:rPr>
              <w:t>Gross annual OT savings</w:t>
            </w:r>
          </w:p>
        </w:tc>
        <w:tc>
          <w:tcPr>
            <w:tcW w:type="dxa" w:w="2736"/>
            <w:shd w:val="clear" w:fill="DDEBF7"/>
          </w:tcPr>
          <w:p>
            <w:pPr>
              <w:spacing w:after="0"/>
              <w:jc w:val="center"/>
            </w:pPr>
            <w:r/>
            <w:r>
              <w:rPr>
                <w:b w:val="0"/>
                <w:i w:val="0"/>
                <w:sz w:val="18"/>
              </w:rPr>
              <w:t>$691,991</w:t>
            </w:r>
          </w:p>
        </w:tc>
      </w:tr>
      <w:tr>
        <w:tc>
          <w:tcPr>
            <w:tcW w:type="dxa" w:w="7056"/>
          </w:tcPr>
          <w:p>
            <w:pPr>
              <w:spacing w:after="0"/>
            </w:pPr>
            <w:r/>
            <w:r>
              <w:rPr>
                <w:b w:val="0"/>
                <w:i w:val="0"/>
                <w:sz w:val="18"/>
              </w:rPr>
              <w:t>Less: annual program cost (2 HR FTE + refresher training)</w:t>
            </w:r>
          </w:p>
        </w:tc>
        <w:tc>
          <w:tcPr>
            <w:tcW w:type="dxa" w:w="2736"/>
          </w:tcPr>
          <w:p>
            <w:pPr>
              <w:spacing w:after="0"/>
              <w:jc w:val="center"/>
            </w:pPr>
            <w:r/>
            <w:r>
              <w:rPr>
                <w:b w:val="0"/>
                <w:i w:val="0"/>
                <w:sz w:val="18"/>
              </w:rPr>
              <w:t>($160,000)</w:t>
            </w:r>
          </w:p>
        </w:tc>
      </w:tr>
      <w:tr>
        <w:tc>
          <w:tcPr>
            <w:tcW w:type="dxa" w:w="7056"/>
            <w:shd w:val="clear" w:fill="DDEBF7"/>
          </w:tcPr>
          <w:p>
            <w:pPr>
              <w:spacing w:after="0"/>
            </w:pPr>
            <w:r/>
            <w:r>
              <w:rPr>
                <w:b w:val="0"/>
                <w:i w:val="0"/>
                <w:sz w:val="18"/>
              </w:rPr>
              <w:t>Net annual savings</w:t>
            </w:r>
          </w:p>
        </w:tc>
        <w:tc>
          <w:tcPr>
            <w:tcW w:type="dxa" w:w="2736"/>
            <w:shd w:val="clear" w:fill="DDEBF7"/>
          </w:tcPr>
          <w:p>
            <w:pPr>
              <w:spacing w:after="0"/>
              <w:jc w:val="center"/>
            </w:pPr>
            <w:r/>
            <w:r>
              <w:rPr>
                <w:b w:val="0"/>
                <w:i w:val="0"/>
                <w:sz w:val="18"/>
              </w:rPr>
              <w:t>$531,991</w:t>
            </w:r>
          </w:p>
        </w:tc>
      </w:tr>
      <w:tr>
        <w:tc>
          <w:tcPr>
            <w:tcW w:type="dxa" w:w="7056"/>
          </w:tcPr>
          <w:p>
            <w:pPr>
              <w:spacing w:after="0"/>
            </w:pPr>
            <w:r/>
            <w:r>
              <w:rPr>
                <w:b w:val="0"/>
                <w:i w:val="0"/>
                <w:sz w:val="18"/>
              </w:rPr>
              <w:t>One-time cost (recruiting $8,000/hire; training $1,600 × 40)</w:t>
            </w:r>
          </w:p>
        </w:tc>
        <w:tc>
          <w:tcPr>
            <w:tcW w:type="dxa" w:w="2736"/>
          </w:tcPr>
          <w:p>
            <w:pPr>
              <w:spacing w:after="0"/>
              <w:jc w:val="center"/>
            </w:pPr>
            <w:r/>
            <w:r>
              <w:rPr>
                <w:b w:val="0"/>
                <w:i w:val="0"/>
                <w:sz w:val="18"/>
              </w:rPr>
              <w:t>($224,000)</w:t>
            </w:r>
          </w:p>
        </w:tc>
      </w:tr>
      <w:tr>
        <w:tc>
          <w:tcPr>
            <w:tcW w:type="dxa" w:w="7056"/>
            <w:shd w:val="clear" w:fill="DDEBF7"/>
          </w:tcPr>
          <w:p>
            <w:pPr>
              <w:spacing w:after="0"/>
            </w:pPr>
            <w:r/>
            <w:r>
              <w:rPr>
                <w:b w:val="0"/>
                <w:i w:val="0"/>
                <w:sz w:val="18"/>
              </w:rPr>
              <w:t>Year-1 net</w:t>
            </w:r>
          </w:p>
        </w:tc>
        <w:tc>
          <w:tcPr>
            <w:tcW w:type="dxa" w:w="2736"/>
            <w:shd w:val="clear" w:fill="DDEBF7"/>
          </w:tcPr>
          <w:p>
            <w:pPr>
              <w:spacing w:after="0"/>
              <w:jc w:val="center"/>
            </w:pPr>
            <w:r/>
            <w:r>
              <w:rPr>
                <w:b w:val="0"/>
                <w:i w:val="0"/>
                <w:sz w:val="18"/>
              </w:rPr>
              <w:t>$41,996</w:t>
            </w:r>
          </w:p>
        </w:tc>
      </w:tr>
    </w:tbl>
    <w:p>
      <w:pPr>
        <w:spacing w:before="40" w:after="160"/>
      </w:pPr>
      <w:r>
        <w:rPr>
          <w:i/>
          <w:color w:val="404040"/>
          <w:sz w:val="17"/>
        </w:rPr>
        <w:t>Table 7 — Proposal B financial model. FTE reallocated to service delivery: 27. Capacity converted from overtime to regular time: $1,395,941.</w:t>
      </w:r>
    </w:p>
    <w:p>
      <w:pPr>
        <w:pStyle w:val="Heading1"/>
      </w:pPr>
      <w:r>
        <w:t>6. Comparative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888"/>
            <w:shd w:val="clear" w:fill="1F4E79"/>
          </w:tcPr>
          <w:p>
            <w:pPr>
              <w:spacing w:after="0"/>
              <w:jc w:val="center"/>
            </w:pPr>
            <w:r/>
            <w:r>
              <w:rPr>
                <w:b/>
                <w:i w:val="0"/>
                <w:color w:val="FFFFFF"/>
                <w:sz w:val="18"/>
              </w:rPr>
              <w:t>Dimension</w:t>
            </w:r>
          </w:p>
        </w:tc>
        <w:tc>
          <w:tcPr>
            <w:tcW w:type="dxa" w:w="2160"/>
            <w:shd w:val="clear" w:fill="1F4E79"/>
          </w:tcPr>
          <w:p>
            <w:pPr>
              <w:spacing w:after="0"/>
              <w:jc w:val="center"/>
            </w:pPr>
            <w:r/>
            <w:r>
              <w:rPr>
                <w:b/>
                <w:i w:val="0"/>
                <w:color w:val="FFFFFF"/>
                <w:sz w:val="18"/>
              </w:rPr>
              <w:t>Proposal A</w:t>
            </w:r>
          </w:p>
        </w:tc>
        <w:tc>
          <w:tcPr>
            <w:tcW w:type="dxa" w:w="2160"/>
            <w:shd w:val="clear" w:fill="1F4E79"/>
          </w:tcPr>
          <w:p>
            <w:pPr>
              <w:spacing w:after="0"/>
              <w:jc w:val="center"/>
            </w:pPr>
            <w:r/>
            <w:r>
              <w:rPr>
                <w:b/>
                <w:i w:val="0"/>
                <w:color w:val="FFFFFF"/>
                <w:sz w:val="18"/>
              </w:rPr>
              <w:t>Proposal B</w:t>
            </w:r>
          </w:p>
        </w:tc>
        <w:tc>
          <w:tcPr>
            <w:tcW w:type="dxa" w:w="2448"/>
            <w:shd w:val="clear" w:fill="1F4E79"/>
          </w:tcPr>
          <w:p>
            <w:pPr>
              <w:spacing w:after="0"/>
              <w:jc w:val="center"/>
            </w:pPr>
            <w:r/>
            <w:r>
              <w:rPr>
                <w:b/>
                <w:i w:val="0"/>
                <w:color w:val="FFFFFF"/>
                <w:sz w:val="18"/>
              </w:rPr>
              <w:t>Advantage</w:t>
            </w:r>
          </w:p>
        </w:tc>
      </w:tr>
      <w:tr>
        <w:tc>
          <w:tcPr>
            <w:tcW w:type="dxa" w:w="3888"/>
          </w:tcPr>
          <w:p>
            <w:pPr>
              <w:spacing w:after="0"/>
            </w:pPr>
            <w:r/>
            <w:r>
              <w:rPr>
                <w:b w:val="0"/>
                <w:i w:val="0"/>
                <w:sz w:val="18"/>
              </w:rPr>
              <w:t>Annual savings</w:t>
            </w:r>
          </w:p>
        </w:tc>
        <w:tc>
          <w:tcPr>
            <w:tcW w:type="dxa" w:w="2160"/>
          </w:tcPr>
          <w:p>
            <w:pPr>
              <w:spacing w:after="0"/>
              <w:jc w:val="center"/>
            </w:pPr>
            <w:r/>
            <w:r>
              <w:rPr>
                <w:b w:val="0"/>
                <w:i w:val="0"/>
                <w:sz w:val="18"/>
              </w:rPr>
              <w:t>$517,954</w:t>
            </w:r>
          </w:p>
        </w:tc>
        <w:tc>
          <w:tcPr>
            <w:tcW w:type="dxa" w:w="2160"/>
          </w:tcPr>
          <w:p>
            <w:pPr>
              <w:spacing w:after="0"/>
              <w:jc w:val="center"/>
            </w:pPr>
            <w:r/>
            <w:r>
              <w:rPr>
                <w:b w:val="0"/>
                <w:i w:val="0"/>
                <w:sz w:val="18"/>
              </w:rPr>
              <w:t>$531,991</w:t>
            </w:r>
          </w:p>
        </w:tc>
        <w:tc>
          <w:tcPr>
            <w:tcW w:type="dxa" w:w="2448"/>
          </w:tcPr>
          <w:p>
            <w:pPr>
              <w:spacing w:after="0"/>
              <w:jc w:val="center"/>
            </w:pPr>
            <w:r/>
            <w:r>
              <w:rPr>
                <w:b w:val="0"/>
                <w:i w:val="0"/>
                <w:sz w:val="18"/>
              </w:rPr>
              <w:t>B (+$14,037)</w:t>
            </w:r>
          </w:p>
        </w:tc>
      </w:tr>
      <w:tr>
        <w:tc>
          <w:tcPr>
            <w:tcW w:type="dxa" w:w="3888"/>
            <w:shd w:val="clear" w:fill="DDEBF7"/>
          </w:tcPr>
          <w:p>
            <w:pPr>
              <w:spacing w:after="0"/>
            </w:pPr>
            <w:r/>
            <w:r>
              <w:rPr>
                <w:b w:val="0"/>
                <w:i w:val="0"/>
                <w:sz w:val="18"/>
              </w:rPr>
              <w:t>One-time cost</w:t>
            </w:r>
          </w:p>
        </w:tc>
        <w:tc>
          <w:tcPr>
            <w:tcW w:type="dxa" w:w="2160"/>
            <w:shd w:val="clear" w:fill="DDEBF7"/>
          </w:tcPr>
          <w:p>
            <w:pPr>
              <w:spacing w:after="0"/>
              <w:jc w:val="center"/>
            </w:pPr>
            <w:r/>
            <w:r>
              <w:rPr>
                <w:b w:val="0"/>
                <w:i w:val="0"/>
                <w:sz w:val="18"/>
              </w:rPr>
              <w:t>$150,000</w:t>
            </w:r>
          </w:p>
        </w:tc>
        <w:tc>
          <w:tcPr>
            <w:tcW w:type="dxa" w:w="2160"/>
            <w:shd w:val="clear" w:fill="DDEBF7"/>
          </w:tcPr>
          <w:p>
            <w:pPr>
              <w:spacing w:after="0"/>
              <w:jc w:val="center"/>
            </w:pPr>
            <w:r/>
            <w:r>
              <w:rPr>
                <w:b w:val="0"/>
                <w:i w:val="0"/>
                <w:sz w:val="18"/>
              </w:rPr>
              <w:t>$224,000</w:t>
            </w:r>
          </w:p>
        </w:tc>
        <w:tc>
          <w:tcPr>
            <w:tcW w:type="dxa" w:w="2448"/>
            <w:shd w:val="clear" w:fill="DDEBF7"/>
          </w:tcPr>
          <w:p>
            <w:pPr>
              <w:spacing w:after="0"/>
              <w:jc w:val="center"/>
            </w:pPr>
            <w:r/>
            <w:r>
              <w:rPr>
                <w:b w:val="0"/>
                <w:i w:val="0"/>
                <w:sz w:val="18"/>
              </w:rPr>
              <w:t>A</w:t>
            </w:r>
          </w:p>
        </w:tc>
      </w:tr>
      <w:tr>
        <w:tc>
          <w:tcPr>
            <w:tcW w:type="dxa" w:w="3888"/>
          </w:tcPr>
          <w:p>
            <w:pPr>
              <w:spacing w:after="0"/>
            </w:pPr>
            <w:r/>
            <w:r>
              <w:rPr>
                <w:b w:val="0"/>
                <w:i w:val="0"/>
                <w:sz w:val="18"/>
              </w:rPr>
              <w:t>Year-1 net cash</w:t>
            </w:r>
          </w:p>
        </w:tc>
        <w:tc>
          <w:tcPr>
            <w:tcW w:type="dxa" w:w="2160"/>
          </w:tcPr>
          <w:p>
            <w:pPr>
              <w:spacing w:after="0"/>
              <w:jc w:val="center"/>
            </w:pPr>
            <w:r/>
            <w:r>
              <w:rPr>
                <w:b w:val="0"/>
                <w:i w:val="0"/>
                <w:sz w:val="18"/>
              </w:rPr>
              <w:t>$108,977</w:t>
            </w:r>
          </w:p>
        </w:tc>
        <w:tc>
          <w:tcPr>
            <w:tcW w:type="dxa" w:w="2160"/>
          </w:tcPr>
          <w:p>
            <w:pPr>
              <w:spacing w:after="0"/>
              <w:jc w:val="center"/>
            </w:pPr>
            <w:r/>
            <w:r>
              <w:rPr>
                <w:b w:val="0"/>
                <w:i w:val="0"/>
                <w:sz w:val="18"/>
              </w:rPr>
              <w:t>$41,996</w:t>
            </w:r>
          </w:p>
        </w:tc>
        <w:tc>
          <w:tcPr>
            <w:tcW w:type="dxa" w:w="2448"/>
          </w:tcPr>
          <w:p>
            <w:pPr>
              <w:spacing w:after="0"/>
              <w:jc w:val="center"/>
            </w:pPr>
            <w:r/>
            <w:r>
              <w:rPr>
                <w:b w:val="0"/>
                <w:i w:val="0"/>
                <w:sz w:val="18"/>
              </w:rPr>
              <w:t>A</w:t>
            </w:r>
          </w:p>
        </w:tc>
      </w:tr>
      <w:tr>
        <w:tc>
          <w:tcPr>
            <w:tcW w:type="dxa" w:w="3888"/>
            <w:shd w:val="clear" w:fill="DDEBF7"/>
          </w:tcPr>
          <w:p>
            <w:pPr>
              <w:spacing w:after="0"/>
            </w:pPr>
            <w:r/>
            <w:r>
              <w:rPr>
                <w:b w:val="0"/>
                <w:i w:val="0"/>
                <w:sz w:val="18"/>
              </w:rPr>
              <w:t>FTE reallocated to service delivery</w:t>
            </w:r>
          </w:p>
        </w:tc>
        <w:tc>
          <w:tcPr>
            <w:tcW w:type="dxa" w:w="2160"/>
            <w:shd w:val="clear" w:fill="DDEBF7"/>
          </w:tcPr>
          <w:p>
            <w:pPr>
              <w:spacing w:after="0"/>
              <w:jc w:val="center"/>
            </w:pPr>
            <w:r/>
            <w:r>
              <w:rPr>
                <w:b w:val="0"/>
                <w:i w:val="0"/>
                <w:sz w:val="18"/>
              </w:rPr>
              <w:t>4</w:t>
            </w:r>
          </w:p>
        </w:tc>
        <w:tc>
          <w:tcPr>
            <w:tcW w:type="dxa" w:w="2160"/>
            <w:shd w:val="clear" w:fill="DDEBF7"/>
          </w:tcPr>
          <w:p>
            <w:pPr>
              <w:spacing w:after="0"/>
              <w:jc w:val="center"/>
            </w:pPr>
            <w:r/>
            <w:r>
              <w:rPr>
                <w:b w:val="0"/>
                <w:i w:val="0"/>
                <w:sz w:val="18"/>
              </w:rPr>
              <w:t>27</w:t>
            </w:r>
          </w:p>
        </w:tc>
        <w:tc>
          <w:tcPr>
            <w:tcW w:type="dxa" w:w="2448"/>
            <w:shd w:val="clear" w:fill="DDEBF7"/>
          </w:tcPr>
          <w:p>
            <w:pPr>
              <w:spacing w:after="0"/>
              <w:jc w:val="center"/>
            </w:pPr>
            <w:r/>
            <w:r>
              <w:rPr>
                <w:b w:val="0"/>
                <w:i w:val="0"/>
                <w:sz w:val="18"/>
              </w:rPr>
              <w:t>B (+23)</w:t>
            </w:r>
          </w:p>
        </w:tc>
      </w:tr>
      <w:tr>
        <w:tc>
          <w:tcPr>
            <w:tcW w:type="dxa" w:w="3888"/>
          </w:tcPr>
          <w:p>
            <w:pPr>
              <w:spacing w:after="0"/>
            </w:pPr>
            <w:r/>
            <w:r>
              <w:rPr>
                <w:b w:val="0"/>
                <w:i w:val="0"/>
                <w:sz w:val="18"/>
              </w:rPr>
              <w:t>Avg SLA lift on 8 red processes</w:t>
            </w:r>
          </w:p>
        </w:tc>
        <w:tc>
          <w:tcPr>
            <w:tcW w:type="dxa" w:w="2160"/>
          </w:tcPr>
          <w:p>
            <w:pPr>
              <w:spacing w:after="0"/>
              <w:jc w:val="center"/>
            </w:pPr>
            <w:r/>
            <w:r>
              <w:rPr>
                <w:b w:val="0"/>
                <w:i w:val="0"/>
                <w:sz w:val="18"/>
              </w:rPr>
              <w:t>+2.9 pts</w:t>
            </w:r>
          </w:p>
        </w:tc>
        <w:tc>
          <w:tcPr>
            <w:tcW w:type="dxa" w:w="2160"/>
          </w:tcPr>
          <w:p>
            <w:pPr>
              <w:spacing w:after="0"/>
              <w:jc w:val="center"/>
            </w:pPr>
            <w:r/>
            <w:r>
              <w:rPr>
                <w:b w:val="0"/>
                <w:i w:val="0"/>
                <w:sz w:val="18"/>
              </w:rPr>
              <w:t>+6.9 pts</w:t>
            </w:r>
          </w:p>
        </w:tc>
        <w:tc>
          <w:tcPr>
            <w:tcW w:type="dxa" w:w="2448"/>
          </w:tcPr>
          <w:p>
            <w:pPr>
              <w:spacing w:after="0"/>
              <w:jc w:val="center"/>
            </w:pPr>
            <w:r/>
            <w:r>
              <w:rPr>
                <w:b w:val="0"/>
                <w:i w:val="0"/>
                <w:sz w:val="18"/>
              </w:rPr>
              <w:t>B</w:t>
            </w:r>
          </w:p>
        </w:tc>
      </w:tr>
      <w:tr>
        <w:tc>
          <w:tcPr>
            <w:tcW w:type="dxa" w:w="3888"/>
            <w:shd w:val="clear" w:fill="DDEBF7"/>
          </w:tcPr>
          <w:p>
            <w:pPr>
              <w:spacing w:after="0"/>
            </w:pPr>
            <w:r/>
            <w:r>
              <w:rPr>
                <w:b w:val="0"/>
                <w:i w:val="0"/>
                <w:sz w:val="18"/>
              </w:rPr>
              <w:t>Processes below 65% after</w:t>
            </w:r>
          </w:p>
        </w:tc>
        <w:tc>
          <w:tcPr>
            <w:tcW w:type="dxa" w:w="2160"/>
            <w:shd w:val="clear" w:fill="DDEBF7"/>
          </w:tcPr>
          <w:p>
            <w:pPr>
              <w:spacing w:after="0"/>
              <w:jc w:val="center"/>
            </w:pPr>
            <w:r/>
            <w:r>
              <w:rPr>
                <w:b w:val="0"/>
                <w:i w:val="0"/>
                <w:sz w:val="18"/>
              </w:rPr>
              <w:t>6 of 8</w:t>
            </w:r>
          </w:p>
        </w:tc>
        <w:tc>
          <w:tcPr>
            <w:tcW w:type="dxa" w:w="2160"/>
            <w:shd w:val="clear" w:fill="DDEBF7"/>
          </w:tcPr>
          <w:p>
            <w:pPr>
              <w:spacing w:after="0"/>
              <w:jc w:val="center"/>
            </w:pPr>
            <w:r/>
            <w:r>
              <w:rPr>
                <w:b w:val="0"/>
                <w:i w:val="0"/>
                <w:sz w:val="18"/>
              </w:rPr>
              <w:t>3 of 8</w:t>
            </w:r>
          </w:p>
        </w:tc>
        <w:tc>
          <w:tcPr>
            <w:tcW w:type="dxa" w:w="2448"/>
            <w:shd w:val="clear" w:fill="DDEBF7"/>
          </w:tcPr>
          <w:p>
            <w:pPr>
              <w:spacing w:after="0"/>
              <w:jc w:val="center"/>
            </w:pPr>
            <w:r/>
            <w:r>
              <w:rPr>
                <w:b w:val="0"/>
                <w:i w:val="0"/>
                <w:sz w:val="18"/>
              </w:rPr>
              <w:t>B</w:t>
            </w:r>
          </w:p>
        </w:tc>
      </w:tr>
      <w:tr>
        <w:tc>
          <w:tcPr>
            <w:tcW w:type="dxa" w:w="3888"/>
          </w:tcPr>
          <w:p>
            <w:pPr>
              <w:spacing w:after="0"/>
            </w:pPr>
            <w:r/>
            <w:r>
              <w:rPr>
                <w:b w:val="0"/>
                <w:i w:val="0"/>
                <w:sz w:val="18"/>
              </w:rPr>
              <w:t>Citywide 311 average after</w:t>
            </w:r>
          </w:p>
        </w:tc>
        <w:tc>
          <w:tcPr>
            <w:tcW w:type="dxa" w:w="2160"/>
          </w:tcPr>
          <w:p>
            <w:pPr>
              <w:spacing w:after="0"/>
              <w:jc w:val="center"/>
            </w:pPr>
            <w:r/>
            <w:r>
              <w:rPr>
                <w:b w:val="0"/>
                <w:i w:val="0"/>
                <w:sz w:val="18"/>
              </w:rPr>
              <w:t>10.2 days</w:t>
            </w:r>
          </w:p>
        </w:tc>
        <w:tc>
          <w:tcPr>
            <w:tcW w:type="dxa" w:w="2160"/>
          </w:tcPr>
          <w:p>
            <w:pPr>
              <w:spacing w:after="0"/>
              <w:jc w:val="center"/>
            </w:pPr>
            <w:r/>
            <w:r>
              <w:rPr>
                <w:b w:val="0"/>
                <w:i w:val="0"/>
                <w:sz w:val="18"/>
              </w:rPr>
              <w:t>9.5 days</w:t>
            </w:r>
          </w:p>
        </w:tc>
        <w:tc>
          <w:tcPr>
            <w:tcW w:type="dxa" w:w="2448"/>
          </w:tcPr>
          <w:p>
            <w:pPr>
              <w:spacing w:after="0"/>
              <w:jc w:val="center"/>
            </w:pPr>
            <w:r/>
            <w:r>
              <w:rPr>
                <w:b w:val="0"/>
                <w:i w:val="0"/>
                <w:sz w:val="18"/>
              </w:rPr>
              <w:t>B</w:t>
            </w:r>
          </w:p>
        </w:tc>
      </w:tr>
      <w:tr>
        <w:tc>
          <w:tcPr>
            <w:tcW w:type="dxa" w:w="3888"/>
            <w:shd w:val="clear" w:fill="DDEBF7"/>
          </w:tcPr>
          <w:p>
            <w:pPr>
              <w:spacing w:after="0"/>
            </w:pPr>
            <w:r/>
            <w:r>
              <w:rPr>
                <w:b w:val="0"/>
                <w:i w:val="0"/>
                <w:sz w:val="18"/>
              </w:rPr>
              <w:t>Citywide vacancy after</w:t>
            </w:r>
          </w:p>
        </w:tc>
        <w:tc>
          <w:tcPr>
            <w:tcW w:type="dxa" w:w="2160"/>
            <w:shd w:val="clear" w:fill="DDEBF7"/>
          </w:tcPr>
          <w:p>
            <w:pPr>
              <w:spacing w:after="0"/>
              <w:jc w:val="center"/>
            </w:pPr>
            <w:r/>
            <w:r>
              <w:rPr>
                <w:b w:val="0"/>
                <w:i w:val="0"/>
                <w:sz w:val="18"/>
              </w:rPr>
              <w:t>9.1% (unchanged)</w:t>
            </w:r>
          </w:p>
        </w:tc>
        <w:tc>
          <w:tcPr>
            <w:tcW w:type="dxa" w:w="2160"/>
            <w:shd w:val="clear" w:fill="DDEBF7"/>
          </w:tcPr>
          <w:p>
            <w:pPr>
              <w:spacing w:after="0"/>
              <w:jc w:val="center"/>
            </w:pPr>
            <w:r/>
            <w:r>
              <w:rPr>
                <w:b w:val="0"/>
                <w:i w:val="0"/>
                <w:sz w:val="18"/>
              </w:rPr>
              <w:t>4.9%</w:t>
            </w:r>
          </w:p>
        </w:tc>
        <w:tc>
          <w:tcPr>
            <w:tcW w:type="dxa" w:w="2448"/>
            <w:shd w:val="clear" w:fill="DDEBF7"/>
          </w:tcPr>
          <w:p>
            <w:pPr>
              <w:spacing w:after="0"/>
              <w:jc w:val="center"/>
            </w:pPr>
            <w:r/>
            <w:r>
              <w:rPr>
                <w:b w:val="0"/>
                <w:i w:val="0"/>
                <w:sz w:val="18"/>
              </w:rPr>
              <w:t>B</w:t>
            </w:r>
          </w:p>
        </w:tc>
      </w:tr>
      <w:tr>
        <w:tc>
          <w:tcPr>
            <w:tcW w:type="dxa" w:w="3888"/>
          </w:tcPr>
          <w:p>
            <w:pPr>
              <w:spacing w:after="0"/>
            </w:pPr>
            <w:r/>
            <w:r>
              <w:rPr>
                <w:b w:val="0"/>
                <w:i w:val="0"/>
                <w:sz w:val="18"/>
              </w:rPr>
              <w:t>Implementation complexity (1–5)</w:t>
            </w:r>
          </w:p>
        </w:tc>
        <w:tc>
          <w:tcPr>
            <w:tcW w:type="dxa" w:w="2160"/>
          </w:tcPr>
          <w:p>
            <w:pPr>
              <w:spacing w:after="0"/>
              <w:jc w:val="center"/>
            </w:pPr>
            <w:r/>
            <w:r>
              <w:rPr>
                <w:b w:val="0"/>
                <w:i w:val="0"/>
                <w:sz w:val="18"/>
              </w:rPr>
              <w:t>3</w:t>
            </w:r>
          </w:p>
        </w:tc>
        <w:tc>
          <w:tcPr>
            <w:tcW w:type="dxa" w:w="2160"/>
          </w:tcPr>
          <w:p>
            <w:pPr>
              <w:spacing w:after="0"/>
              <w:jc w:val="center"/>
            </w:pPr>
            <w:r/>
            <w:r>
              <w:rPr>
                <w:b w:val="0"/>
                <w:i w:val="0"/>
                <w:sz w:val="18"/>
              </w:rPr>
              <w:t>4</w:t>
            </w:r>
          </w:p>
        </w:tc>
        <w:tc>
          <w:tcPr>
            <w:tcW w:type="dxa" w:w="2448"/>
          </w:tcPr>
          <w:p>
            <w:pPr>
              <w:spacing w:after="0"/>
              <w:jc w:val="center"/>
            </w:pPr>
            <w:r/>
            <w:r>
              <w:rPr>
                <w:b w:val="0"/>
                <w:i w:val="0"/>
                <w:sz w:val="18"/>
              </w:rPr>
              <w:t>A</w:t>
            </w:r>
          </w:p>
        </w:tc>
      </w:tr>
      <w:tr>
        <w:tc>
          <w:tcPr>
            <w:tcW w:type="dxa" w:w="3888"/>
            <w:shd w:val="clear" w:fill="DDEBF7"/>
          </w:tcPr>
          <w:p>
            <w:pPr>
              <w:spacing w:after="0"/>
            </w:pPr>
            <w:r/>
            <w:r>
              <w:rPr>
                <w:b w:val="0"/>
                <w:i w:val="0"/>
                <w:sz w:val="18"/>
              </w:rPr>
              <w:t>Implementation risk (1–5)</w:t>
            </w:r>
          </w:p>
        </w:tc>
        <w:tc>
          <w:tcPr>
            <w:tcW w:type="dxa" w:w="2160"/>
            <w:shd w:val="clear" w:fill="DDEBF7"/>
          </w:tcPr>
          <w:p>
            <w:pPr>
              <w:spacing w:after="0"/>
              <w:jc w:val="center"/>
            </w:pPr>
            <w:r/>
            <w:r>
              <w:rPr>
                <w:b w:val="0"/>
                <w:i w:val="0"/>
                <w:sz w:val="18"/>
              </w:rPr>
              <w:t>3</w:t>
            </w:r>
          </w:p>
        </w:tc>
        <w:tc>
          <w:tcPr>
            <w:tcW w:type="dxa" w:w="2160"/>
            <w:shd w:val="clear" w:fill="DDEBF7"/>
          </w:tcPr>
          <w:p>
            <w:pPr>
              <w:spacing w:after="0"/>
              <w:jc w:val="center"/>
            </w:pPr>
            <w:r/>
            <w:r>
              <w:rPr>
                <w:b w:val="0"/>
                <w:i w:val="0"/>
                <w:sz w:val="18"/>
              </w:rPr>
              <w:t>2</w:t>
            </w:r>
          </w:p>
        </w:tc>
        <w:tc>
          <w:tcPr>
            <w:tcW w:type="dxa" w:w="2448"/>
            <w:shd w:val="clear" w:fill="DDEBF7"/>
          </w:tcPr>
          <w:p>
            <w:pPr>
              <w:spacing w:after="0"/>
              <w:jc w:val="center"/>
            </w:pPr>
            <w:r/>
            <w:r>
              <w:rPr>
                <w:b w:val="0"/>
                <w:i w:val="0"/>
                <w:sz w:val="18"/>
              </w:rPr>
              <w:t>A</w:t>
            </w:r>
          </w:p>
        </w:tc>
      </w:tr>
      <w:tr>
        <w:tc>
          <w:tcPr>
            <w:tcW w:type="dxa" w:w="3888"/>
          </w:tcPr>
          <w:p>
            <w:pPr>
              <w:spacing w:after="0"/>
            </w:pPr>
            <w:r/>
            <w:r>
              <w:rPr>
                <w:b w:val="0"/>
                <w:i w:val="0"/>
                <w:sz w:val="18"/>
              </w:rPr>
              <w:t>Fire structural OT addressed</w:t>
            </w:r>
          </w:p>
        </w:tc>
        <w:tc>
          <w:tcPr>
            <w:tcW w:type="dxa" w:w="2160"/>
          </w:tcPr>
          <w:p>
            <w:pPr>
              <w:spacing w:after="0"/>
              <w:jc w:val="center"/>
            </w:pPr>
            <w:r/>
            <w:r>
              <w:rPr>
                <w:b w:val="0"/>
                <w:i w:val="0"/>
                <w:sz w:val="18"/>
              </w:rPr>
              <w:t>No</w:t>
            </w:r>
          </w:p>
        </w:tc>
        <w:tc>
          <w:tcPr>
            <w:tcW w:type="dxa" w:w="2160"/>
          </w:tcPr>
          <w:p>
            <w:pPr>
              <w:spacing w:after="0"/>
              <w:jc w:val="center"/>
            </w:pPr>
            <w:r/>
            <w:r>
              <w:rPr>
                <w:b w:val="0"/>
                <w:i w:val="0"/>
                <w:sz w:val="18"/>
              </w:rPr>
              <w:t>Yes ($549,563 gross)</w:t>
            </w:r>
          </w:p>
        </w:tc>
        <w:tc>
          <w:tcPr>
            <w:tcW w:type="dxa" w:w="2448"/>
          </w:tcPr>
          <w:p>
            <w:pPr>
              <w:spacing w:after="0"/>
              <w:jc w:val="center"/>
            </w:pPr>
            <w:r/>
            <w:r>
              <w:rPr>
                <w:b w:val="0"/>
                <w:i w:val="0"/>
                <w:sz w:val="18"/>
              </w:rPr>
              <w:t>B</w:t>
            </w:r>
          </w:p>
        </w:tc>
      </w:tr>
      <w:tr>
        <w:tc>
          <w:tcPr>
            <w:tcW w:type="dxa" w:w="3888"/>
            <w:shd w:val="clear" w:fill="DDEBF7"/>
          </w:tcPr>
          <w:p>
            <w:pPr>
              <w:spacing w:after="0"/>
            </w:pPr>
            <w:r/>
            <w:r>
              <w:rPr>
                <w:b w:val="0"/>
                <w:i w:val="0"/>
                <w:sz w:val="18"/>
              </w:rPr>
              <w:t>Weighted net score (see below)</w:t>
            </w:r>
          </w:p>
        </w:tc>
        <w:tc>
          <w:tcPr>
            <w:tcW w:type="dxa" w:w="2160"/>
            <w:shd w:val="clear" w:fill="DDEBF7"/>
          </w:tcPr>
          <w:p>
            <w:pPr>
              <w:spacing w:after="0"/>
              <w:jc w:val="center"/>
            </w:pPr>
            <w:r/>
            <w:r>
              <w:rPr>
                <w:b w:val="0"/>
                <w:i w:val="0"/>
                <w:sz w:val="18"/>
              </w:rPr>
              <w:t>1.81</w:t>
            </w:r>
          </w:p>
        </w:tc>
        <w:tc>
          <w:tcPr>
            <w:tcW w:type="dxa" w:w="2160"/>
            <w:shd w:val="clear" w:fill="DDEBF7"/>
          </w:tcPr>
          <w:p>
            <w:pPr>
              <w:spacing w:after="0"/>
              <w:jc w:val="center"/>
            </w:pPr>
            <w:r/>
            <w:r>
              <w:rPr>
                <w:b w:val="0"/>
                <w:i w:val="0"/>
                <w:sz w:val="18"/>
              </w:rPr>
              <w:t>2.89</w:t>
            </w:r>
          </w:p>
        </w:tc>
        <w:tc>
          <w:tcPr>
            <w:tcW w:type="dxa" w:w="2448"/>
            <w:shd w:val="clear" w:fill="DDEBF7"/>
          </w:tcPr>
          <w:p>
            <w:pPr>
              <w:spacing w:after="0"/>
              <w:jc w:val="center"/>
            </w:pPr>
            <w:r/>
            <w:r>
              <w:rPr>
                <w:b w:val="0"/>
                <w:i w:val="0"/>
                <w:sz w:val="18"/>
              </w:rPr>
              <w:t>B</w:t>
            </w:r>
          </w:p>
        </w:tc>
      </w:tr>
    </w:tbl>
    <w:p>
      <w:pPr>
        <w:spacing w:before="40" w:after="160"/>
      </w:pPr>
      <w:r>
        <w:rPr>
          <w:i/>
          <w:color w:val="404040"/>
          <w:sz w:val="17"/>
        </w:rPr>
        <w:t>Table 8 — Head-to-head comparison. Fire gross OT impact under B: $360,000 avoided + $189,563 scheduling = $549,563.</w:t>
      </w:r>
    </w:p>
    <w:p>
      <w:pPr>
        <w:spacing w:after="120"/>
      </w:pPr>
      <w:r>
        <w:rPr>
          <w:b w:val="0"/>
          <w:i w:val="0"/>
          <w:sz w:val="21"/>
        </w:rPr>
        <w:t>Scoring: savings normalized on a $300K–$700K band (25% weight), SLA lift on a +3 to +9 band (30%), complexity (20%) and risk (25%) scored 1–5 where lower is better. Result: A = 1.81, B = 2.89. Proposal A wins on Year-1 cash and structural simplicity; Proposal B wins on every dimension Council constituents experience — on-time performance, backlog, vacancy, overtime exposure — and on risk-adjusted deliverability.</w:t>
      </w:r>
    </w:p>
    <w:p>
      <w:pPr>
        <w:pStyle w:val="Heading1"/>
      </w:pPr>
      <w:r>
        <w:t>7. Recommendation</w:t>
      </w:r>
    </w:p>
    <w:p>
      <w:pPr>
        <w:spacing w:after="120"/>
      </w:pPr>
      <w:r>
        <w:rPr>
          <w:b/>
          <w:i w:val="0"/>
          <w:sz w:val="21"/>
        </w:rPr>
        <w:t>Adopt Proposal B as the primary operating framework, with two supplements and one guardrail:</w:t>
      </w:r>
    </w:p>
    <w:p>
      <w:pPr>
        <w:pStyle w:val="ListBullet"/>
        <w:spacing w:after="80"/>
      </w:pPr>
      <w:r>
        <w:rPr>
          <w:b/>
          <w:sz w:val="21"/>
        </w:rPr>
        <w:t xml:space="preserve">1. B framework. </w:t>
      </w:r>
      <w:r>
        <w:rPr>
          <w:sz w:val="21"/>
        </w:rPr>
        <w:t>Centralized hiring unit + 20 targeted hires and 5 Fire fills + 40-person cross-training pool + shared OT budget for departments above the 10% threshold. Net annual savings $531,991; Year-1 net +$41,996; vacancy 9.1% → 4.9%; SLA lift +6.9 points; below-threshold processes 8 → 3.</w:t>
      </w:r>
    </w:p>
    <w:p>
      <w:pPr>
        <w:pStyle w:val="ListBullet"/>
        <w:spacing w:after="80"/>
      </w:pPr>
      <w:r>
        <w:rPr>
          <w:b/>
          <w:sz w:val="21"/>
        </w:rPr>
        <w:t xml:space="preserve">2. A-lite: </w:t>
      </w:r>
      <w:r>
        <w:rPr>
          <w:sz w:val="21"/>
        </w:rPr>
        <w:t>A voluntary Sanitation–Transportation Shared Fleet &amp; Routing Compact — joint depot and fleet utilization, coordinated routing during Sanitation’s winter OT peak (52.9% of its annual OT falls November–March) — capturing an estimated ~$129,000 of the OT-sharing benefit Proposal A modeled for Public Works, without merger governance risk or bargaining disruption.</w:t>
      </w:r>
    </w:p>
    <w:p>
      <w:pPr>
        <w:pStyle w:val="ListBullet"/>
        <w:spacing w:after="80"/>
      </w:pPr>
      <w:r>
        <w:rPr>
          <w:b/>
          <w:sz w:val="21"/>
        </w:rPr>
        <w:t xml:space="preserve">3. Automation triage: </w:t>
      </w:r>
      <w:r>
        <w:rPr>
          <w:sz w:val="21"/>
        </w:rPr>
        <w:t>Commission a 90-day automation assessment of the eight manual, below-threshold processes (Manual average 63.6% on-time vs Automated 94.8%). This is the only lever that materially raises Street Resurfacing (48.3%) and Fire Plan Review (59.6%) under either proposal, and it is funded by redirecting a portion of realized OT savings.</w:t>
      </w:r>
    </w:p>
    <w:p>
      <w:pPr>
        <w:pStyle w:val="ListBullet"/>
        <w:spacing w:after="80"/>
      </w:pPr>
      <w:r>
        <w:rPr>
          <w:b/>
          <w:sz w:val="21"/>
        </w:rPr>
        <w:t xml:space="preserve">4. Guardrail: </w:t>
      </w:r>
      <w:r>
        <w:rPr>
          <w:sz w:val="21"/>
        </w:rPr>
        <w:t>A 12-month review gate: the Council reconvenes on measured vacancy rate, OT share of regular hours, on-time SLA compliance, and 311 backlog before FY2027 budget adoption. Unused hiring appropriation lapses if milestone SLAs are not met.</w:t>
      </w:r>
    </w:p>
    <w:p>
      <w:pPr>
        <w:pStyle w:val="Heading2"/>
      </w:pPr>
      <w:r>
        <w:t>7.1 Explicit assumptions</w:t>
      </w:r>
    </w:p>
    <w:p>
      <w:pPr>
        <w:spacing w:after="120"/>
      </w:pPr>
      <w:r>
        <w:rPr>
          <w:b w:val="0"/>
          <w:i w:val="0"/>
          <w:sz w:val="21"/>
        </w:rPr>
        <w:t>Proposal A: (A-1) $85,000 loaded cost per de-duplicated FTE; (A-2) 10% Public Works / 5% Community Wellness OT reduction achievable through consolidation alone; (A-3) 50% Year-1 savings realization; (A-4) routing flexibility across bargaining units; (A-5) $150,000 one-time implementation; (A-6) no Fire impact. Proposal B: (B-1) $8,000 fully-loaded recruiting cost per hire; (B-2) $1,600 training per cross-trained employee plus $10,000 annual refresher; (B-3) hiring phased over nine months; (B-4) Fire fills sourced by intra-department reallocation (payroll $328,665, in-budget); (B-5) scheduling reform captures 29% of residual Fire excess hours; (B-6) cross-trained staff deployed against each department’s seasonal peak; (B-7) 311 SLA lifts per the process-level model in Workbook Tab 2/3.</w:t>
      </w:r>
    </w:p>
    <w:p>
      <w:pPr>
        <w:pStyle w:val="Heading2"/>
      </w:pPr>
      <w:r>
        <w:t>7.2 Risks and mitigations</w:t>
      </w:r>
    </w:p>
    <w:tbl>
      <w:tblPr>
        <w:tblStyle w:val="TableGrid"/>
        <w:tblW w:type="auto" w:w="0"/>
        <w:jc w:val="center"/>
        <w:tblLook w:firstColumn="1" w:firstRow="1" w:lastColumn="0" w:lastRow="0" w:noHBand="0" w:noVBand="1" w:val="04A0"/>
      </w:tblPr>
      <w:tblGrid>
        <w:gridCol w:w="4680"/>
        <w:gridCol w:w="4680"/>
      </w:tblGrid>
      <w:tr>
        <w:tc>
          <w:tcPr>
            <w:tcW w:type="dxa" w:w="3600"/>
            <w:shd w:val="clear" w:fill="1F4E79"/>
          </w:tcPr>
          <w:p>
            <w:pPr>
              <w:spacing w:after="0"/>
              <w:jc w:val="center"/>
            </w:pPr>
            <w:r/>
            <w:r>
              <w:rPr>
                <w:b/>
                <w:i w:val="0"/>
                <w:color w:val="FFFFFF"/>
                <w:sz w:val="18"/>
              </w:rPr>
              <w:t>Risk</w:t>
            </w:r>
          </w:p>
        </w:tc>
        <w:tc>
          <w:tcPr>
            <w:tcW w:type="dxa" w:w="6192"/>
            <w:shd w:val="clear" w:fill="1F4E79"/>
          </w:tcPr>
          <w:p>
            <w:pPr>
              <w:spacing w:after="0"/>
              <w:jc w:val="center"/>
            </w:pPr>
            <w:r/>
            <w:r>
              <w:rPr>
                <w:b/>
                <w:i w:val="0"/>
                <w:color w:val="FFFFFF"/>
                <w:sz w:val="18"/>
              </w:rPr>
              <w:t>Mitigation</w:t>
            </w:r>
          </w:p>
        </w:tc>
      </w:tr>
      <w:tr>
        <w:tc>
          <w:tcPr>
            <w:tcW w:type="dxa" w:w="3600"/>
          </w:tcPr>
          <w:p>
            <w:pPr>
              <w:spacing w:after="0"/>
            </w:pPr>
            <w:r/>
            <w:r>
              <w:rPr>
                <w:b w:val="0"/>
                <w:i w:val="0"/>
                <w:sz w:val="18"/>
              </w:rPr>
              <w:t>Hiring market tightness (B)</w:t>
            </w:r>
          </w:p>
        </w:tc>
        <w:tc>
          <w:tcPr>
            <w:tcW w:type="dxa" w:w="6192"/>
          </w:tcPr>
          <w:p>
            <w:pPr>
              <w:spacing w:after="0"/>
              <w:jc w:val="center"/>
            </w:pPr>
            <w:r/>
            <w:r>
              <w:rPr>
                <w:b w:val="0"/>
                <w:i w:val="0"/>
                <w:sz w:val="18"/>
              </w:rPr>
              <w:t>Phased onboarding; centralized unit replicates NYC DCAS gains (exam turnaround 318 → 169 days); contract-staffing bridge for critical divisions</w:t>
            </w:r>
          </w:p>
        </w:tc>
      </w:tr>
      <w:tr>
        <w:tc>
          <w:tcPr>
            <w:tcW w:type="dxa" w:w="3600"/>
            <w:shd w:val="clear" w:fill="DDEBF7"/>
          </w:tcPr>
          <w:p>
            <w:pPr>
              <w:spacing w:after="0"/>
            </w:pPr>
            <w:r/>
            <w:r>
              <w:rPr>
                <w:b w:val="0"/>
                <w:i w:val="0"/>
                <w:sz w:val="18"/>
              </w:rPr>
              <w:t>Fire OT structural drift (both; addressed by B)</w:t>
            </w:r>
          </w:p>
        </w:tc>
        <w:tc>
          <w:tcPr>
            <w:tcW w:type="dxa" w:w="6192"/>
            <w:shd w:val="clear" w:fill="DDEBF7"/>
          </w:tcPr>
          <w:p>
            <w:pPr>
              <w:spacing w:after="0"/>
              <w:jc w:val="center"/>
            </w:pPr>
            <w:r/>
            <w:r>
              <w:rPr>
                <w:b w:val="0"/>
                <w:i w:val="0"/>
                <w:sz w:val="18"/>
              </w:rPr>
              <w:t>Monthly OT monitoring; if attrition worsens (NYC FDNY +52% vs pre-pandemic), the $104,112 residual grows — mutual-aid and scheduling levers pre-approved</w:t>
            </w:r>
          </w:p>
        </w:tc>
      </w:tr>
      <w:tr>
        <w:tc>
          <w:tcPr>
            <w:tcW w:type="dxa" w:w="3600"/>
          </w:tcPr>
          <w:p>
            <w:pPr>
              <w:spacing w:after="0"/>
            </w:pPr>
            <w:r/>
            <w:r>
              <w:rPr>
                <w:b w:val="0"/>
                <w:i w:val="0"/>
                <w:sz w:val="18"/>
              </w:rPr>
              <w:t>Transition dip (A, if selected instead)</w:t>
            </w:r>
          </w:p>
        </w:tc>
        <w:tc>
          <w:tcPr>
            <w:tcW w:type="dxa" w:w="6192"/>
          </w:tcPr>
          <w:p>
            <w:pPr>
              <w:spacing w:after="0"/>
              <w:jc w:val="center"/>
            </w:pPr>
            <w:r/>
            <w:r>
              <w:rPr>
                <w:b w:val="0"/>
                <w:i w:val="0"/>
                <w:sz w:val="18"/>
              </w:rPr>
              <w:t>12–18 month service re-stabilization; 63 open 311 requests would transfer queue ownership mid-stream</w:t>
            </w:r>
          </w:p>
        </w:tc>
      </w:tr>
      <w:tr>
        <w:tc>
          <w:tcPr>
            <w:tcW w:type="dxa" w:w="3600"/>
            <w:shd w:val="clear" w:fill="DDEBF7"/>
          </w:tcPr>
          <w:p>
            <w:pPr>
              <w:spacing w:after="0"/>
            </w:pPr>
            <w:r/>
            <w:r>
              <w:rPr>
                <w:b w:val="0"/>
                <w:i w:val="0"/>
                <w:sz w:val="18"/>
              </w:rPr>
              <w:t>Automation triage funding</w:t>
            </w:r>
          </w:p>
        </w:tc>
        <w:tc>
          <w:tcPr>
            <w:tcW w:type="dxa" w:w="6192"/>
            <w:shd w:val="clear" w:fill="DDEBF7"/>
          </w:tcPr>
          <w:p>
            <w:pPr>
              <w:spacing w:after="0"/>
              <w:jc w:val="center"/>
            </w:pPr>
            <w:r/>
            <w:r>
              <w:rPr>
                <w:b w:val="0"/>
                <w:i w:val="0"/>
                <w:sz w:val="18"/>
              </w:rPr>
              <w:t>Reprioritized within realized OT savings; no new Year-1 appropriation required</w:t>
            </w:r>
          </w:p>
        </w:tc>
      </w:tr>
      <w:tr>
        <w:tc>
          <w:tcPr>
            <w:tcW w:type="dxa" w:w="3600"/>
          </w:tcPr>
          <w:p>
            <w:pPr>
              <w:spacing w:after="0"/>
            </w:pPr>
            <w:r/>
            <w:r>
              <w:rPr>
                <w:b w:val="0"/>
                <w:i w:val="0"/>
                <w:sz w:val="18"/>
              </w:rPr>
              <w:t>Retention in target divisions (turnover 15–26%)</w:t>
            </w:r>
          </w:p>
        </w:tc>
        <w:tc>
          <w:tcPr>
            <w:tcW w:type="dxa" w:w="6192"/>
          </w:tcPr>
          <w:p>
            <w:pPr>
              <w:spacing w:after="0"/>
              <w:jc w:val="center"/>
            </w:pPr>
            <w:r/>
            <w:r>
              <w:rPr>
                <w:b w:val="0"/>
                <w:i w:val="0"/>
                <w:sz w:val="18"/>
              </w:rPr>
              <w:t>Cross-training and scheduling relief funded from Year 1; 12-month gate triggers corrective action</w:t>
            </w:r>
          </w:p>
        </w:tc>
      </w:tr>
    </w:tbl>
    <w:p>
      <w:pPr>
        <w:spacing w:before="40" w:after="160"/>
      </w:pPr>
      <w:r>
        <w:rPr>
          <w:i/>
          <w:color w:val="404040"/>
          <w:sz w:val="17"/>
        </w:rPr>
        <w:t>Table 9 — Principal risks and mitigations.</w:t>
      </w:r>
    </w:p>
    <w:p>
      <w:pPr>
        <w:pStyle w:val="Heading2"/>
      </w:pPr>
      <w:r>
        <w:t>7.3 Next steps</w:t>
      </w:r>
    </w:p>
    <w:p>
      <w:pPr>
        <w:pStyle w:val="ListBullet"/>
        <w:spacing w:after="80"/>
      </w:pPr>
      <w:r>
        <w:rPr>
          <w:b/>
          <w:sz w:val="21"/>
        </w:rPr>
        <w:t xml:space="preserve">90 days: </w:t>
      </w:r>
      <w:r>
        <w:rPr>
          <w:sz w:val="21"/>
        </w:rPr>
        <w:t>Adopt Proposal B framework and appropriate $224,000 one-time and $160,000 annual program funding.</w:t>
      </w:r>
    </w:p>
    <w:p>
      <w:pPr>
        <w:pStyle w:val="ListBullet"/>
        <w:spacing w:after="80"/>
      </w:pPr>
      <w:r>
        <w:rPr>
          <w:b/>
          <w:sz w:val="21"/>
        </w:rPr>
        <w:t xml:space="preserve">90 days: </w:t>
      </w:r>
      <w:r>
        <w:rPr>
          <w:sz w:val="21"/>
        </w:rPr>
        <w:t>Stand up the centralized hiring unit; post the 20 targeted requisitions; begin Fire fills; execute the Shared Fleet &amp; Routing Compact; commission the automation triage.</w:t>
      </w:r>
    </w:p>
    <w:p>
      <w:pPr>
        <w:pStyle w:val="ListBullet"/>
        <w:spacing w:after="80"/>
      </w:pPr>
      <w:r>
        <w:rPr>
          <w:b/>
          <w:sz w:val="21"/>
        </w:rPr>
        <w:t xml:space="preserve">12 months: </w:t>
      </w:r>
      <w:r>
        <w:rPr>
          <w:sz w:val="21"/>
        </w:rPr>
        <w:t>Council review gate on vacancy rate, OT share, SLA compliance, and 311 backlog before FY2027 budget adoption.</w:t>
      </w:r>
    </w:p>
    <w:p>
      <w:pPr>
        <w:pStyle w:val="Heading1"/>
      </w:pPr>
      <w:r>
        <w:t>8. Data Sources and Methodology</w:t>
      </w:r>
    </w:p>
    <w:p>
      <w:pPr>
        <w:pStyle w:val="ListBullet"/>
        <w:spacing w:after="80"/>
      </w:pPr>
      <w:r>
        <w:rPr>
          <w:sz w:val="21"/>
        </w:rPr>
        <w:t>Greenfield Department Staffing &amp; Overtime FY2024 (staffing summary, monthly overtime, 25-process service metrics).</w:t>
      </w:r>
    </w:p>
    <w:p>
      <w:pPr>
        <w:pStyle w:val="ListBullet"/>
        <w:spacing w:after="80"/>
      </w:pPr>
      <w:r>
        <w:rPr>
          <w:sz w:val="21"/>
        </w:rPr>
        <w:t>Greenfield 311 Service Requests FY2024 (500 requests). The DHS agency code is mapped to Health Services based on category composition (food safety, restaurant inspection, rodent, water quality); this mapping is a documented assumption.</w:t>
      </w:r>
    </w:p>
    <w:p>
      <w:pPr>
        <w:pStyle w:val="ListBullet"/>
        <w:spacing w:after="80"/>
      </w:pPr>
      <w:r>
        <w:rPr>
          <w:sz w:val="21"/>
        </w:rPr>
        <w:t>NYC Expense Budget, selected agencies, FY2023–FY2025 (NYC Open Data).</w:t>
      </w:r>
    </w:p>
    <w:p>
      <w:pPr>
        <w:pStyle w:val="ListBullet"/>
        <w:spacing w:after="80"/>
      </w:pPr>
      <w:r>
        <w:rPr>
          <w:sz w:val="21"/>
        </w:rPr>
        <w:t>NYC Mayor’s Management Report indicators (dataset rbed-zzin, FY2026 rows in provided snapshot).</w:t>
      </w:r>
    </w:p>
    <w:p>
      <w:pPr>
        <w:pStyle w:val="ListBullet"/>
        <w:spacing w:after="80"/>
      </w:pPr>
      <w:r>
        <w:rPr>
          <w:sz w:val="21"/>
        </w:rPr>
        <w:t>NYS Comptroller, "2024 Update on NYC Staffing Trends" (Report 2-2025).</w:t>
      </w:r>
    </w:p>
    <w:p>
      <w:pPr>
        <w:spacing w:after="120"/>
      </w:pPr>
      <w:r>
        <w:rPr>
          <w:b w:val="0"/>
          <w:i w:val="0"/>
          <w:sz w:val="21"/>
        </w:rPr>
        <w:t>Method: every figure in this memorandum is computed in a single locked model mirrored by the companion Cost-Benefit Analysis Workbook (Tabs 1–4) and the Council presentation; benchmarks are used directionally; projections do not extend beyond FY2026 except the Fire residual; dollar figures are rounded to the nearest dollar; percentage-point changes are stated as points.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