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28"/>
        </w:rPr>
        <w:t>NOVATRANS LOGISTICS</w:t>
      </w:r>
    </w:p>
    <w:p>
      <w:pPr>
        <w:spacing w:after="20" w:before="0"/>
      </w:pPr>
      <w:r>
        <w:rPr>
          <w:b/>
          <w:i w:val="0"/>
          <w:sz w:val="22"/>
        </w:rPr>
        <w:t>BOARD DECISION BRIEF - PLANT CONSOLIDATION SCORING &amp; GO/NO-GO</w:t>
      </w:r>
    </w:p>
    <w:p>
      <w:pPr>
        <w:spacing w:after="40" w:before="0"/>
      </w:pPr>
      <w:r>
        <w:rPr>
          <w:b w:val="0"/>
          <w:i/>
          <w:color w:val="595959"/>
          <w:sz w:val="16"/>
        </w:rPr>
        <w:t>Prepared for the Board of Directors  |  Companion workbook: NovaTrans_Plant_Consolidation_Scoring_Model.xlsx  |  Data: pinned external dataset (WhCapacities, WhCosts, FreightRates), OrderList extract, PlantPorts, Q4-2023 survey &amp; complaint log</w:t>
      </w:r>
    </w:p>
    <w:p>
      <w:pPr>
        <w:spacing w:after="80" w:before="80"/>
      </w:pPr>
      <w:r>
        <w:rPr>
          <w:b/>
          <w:i w:val="0"/>
          <w:color w:val="1F3864"/>
          <w:sz w:val="23"/>
        </w:rPr>
        <w:t>1.  METHODOLOGY STATEMENT</w:t>
      </w:r>
    </w:p>
    <w:p>
      <w:pPr>
        <w:spacing w:after="60" w:before="0"/>
      </w:pPr>
      <w:r>
        <w:rPr>
          <w:b w:val="0"/>
          <w:i w:val="0"/>
          <w:sz w:val="19"/>
        </w:rPr>
        <w:t>The Board directive requires ranking all 19 plants on consolidation candidacy and operationalizing the term "structurally unviable," which the directive leaves undefined. We operationalize it as a five-pillar weighted composite (0-100; higher = stronger candidacy), scored from the pinned capacity, cost, rate and topology files plus the shipment extract, Q4-2023 survey and complaint log: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Pillar (weight)</w:t>
            </w:r>
          </w:p>
        </w:tc>
        <w:tc>
          <w:tcPr>
            <w:tcW w:type="dxa" w:w="2952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472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6"/>
              </w:rPr>
              <w:t>P1 - Scale Deficit (30%)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6"/>
              </w:rPr>
              <w:t>Daily_Capacity, log min-max (smallest = 100)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rPr>
                <w:sz w:val="16"/>
              </w:rPr>
              <w:t>Small sites carry overhead disproportionate to volume; log scale prevents PLANT01 (1,070 u/d) from flattening the signal of 7-14 u/d plants.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6"/>
              </w:rPr>
              <w:t>P2 - Unit-Cost Disadvantage (25%)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6"/>
              </w:rPr>
              <w:t>Cost_Per_Unit, min-max (highest = 100)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rPr>
                <w:sz w:val="16"/>
              </w:rPr>
              <w:t>Directly measurable handling-cost disadvantage; highest-cost plant (PLANT18, $2.04/u) scores 100.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6"/>
              </w:rPr>
              <w:t>P3 - Absorption Feasibility (20%)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6"/>
              </w:rPr>
              <w:t>Same-port absorber capacity, capped at 1,000 u/d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rPr>
                <w:sz w:val="16"/>
              </w:rPr>
              <w:t>Topology constraint: port access decides which plants can absorb volume. Single-tenant-port plants (zero absorbers) score 0 - closing them forces cross-port moves.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6"/>
              </w:rPr>
              <w:t>P4 - Service Deficit (15%)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6"/>
              </w:rPr>
              <w:t>Late rate, complaint count, detractor rate (mean of min-max)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rPr>
                <w:sz w:val="16"/>
              </w:rPr>
              <w:t>Closing a poorly-performing site is lower-risk for service continuity; equally, migrating its book must be managed (see §3).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sz w:val="16"/>
              </w:rPr>
              <w:t>P5 - Observed Flow Viability (10%)</w:t>
            </w:r>
          </w:p>
        </w:tc>
        <w:tc>
          <w:tcPr>
            <w:tcW w:type="dxa" w:w="2952"/>
          </w:tcPr>
          <w:p>
            <w:pPr>
              <w:spacing w:after="20"/>
            </w:pPr>
            <w:r>
              <w:rPr>
                <w:sz w:val="16"/>
              </w:rPr>
              <w:t>Order-share of network flow, min-max (zero share = 100)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rPr>
                <w:sz w:val="16"/>
              </w:rPr>
              <w:t>Plants with no observable commercial book are cheapest to close; weighted lowest because the extract covers one day.</w:t>
            </w:r>
          </w:p>
        </w:tc>
      </w:tr>
    </w:tbl>
    <w:p>
      <w:pPr>
        <w:spacing w:after="40" w:before="0"/>
      </w:pPr>
      <w:r>
        <w:rPr>
          <w:b w:val="0"/>
          <w:i w:val="0"/>
          <w:sz w:val="4"/>
        </w:rPr>
      </w:r>
    </w:p>
    <w:p>
      <w:pPr>
        <w:spacing w:after="80" w:before="0"/>
      </w:pPr>
      <w:r>
        <w:rPr>
          <w:b w:val="0"/>
          <w:i w:val="0"/>
          <w:sz w:val="18"/>
        </w:rPr>
        <w:t>Limitations, flagged rather than smoothed: (i) 12 of 19 plants have no order/survey/complaint coverage and carry a neutral prior of 50 on P4/P5 - a sensitivity re-run with covered-plant medians leaves the top-5 unchanged; (ii) the shipment extract covers a single operating day (26-May-13), so P5 is indicative only; (iii) stated Daily_Capacity is used as the volume basis (the memo’s own convention) - observed utilization cannot be verified from data; (iv) all assumptions are flagged in the workbook (yellow cells), never blended into data-derived figures.</w:t>
      </w:r>
    </w:p>
    <w:p>
      <w:pPr>
        <w:spacing w:after="80" w:before="160"/>
      </w:pPr>
      <w:r>
        <w:rPr>
          <w:b/>
          <w:i w:val="0"/>
          <w:color w:val="1F3864"/>
          <w:sz w:val="23"/>
        </w:rPr>
        <w:t>2.  CONSOLIDATION RECOMMENDATION</w:t>
      </w:r>
    </w:p>
    <w:p>
      <w:pPr>
        <w:spacing w:after="60" w:before="0"/>
      </w:pPr>
      <w:r>
        <w:rPr>
          <w:b w:val="0"/>
          <w:i w:val="0"/>
          <w:sz w:val="19"/>
        </w:rPr>
        <w:t>Five plants emerge as candidates. PLANT08 ranks first despite a mid-size book because it combines the worst service record in the network with a small capacity base; PLANT19 and PLANT09 rank high on scale and flow signals; PLANT15 and PLANT18 rank high on cost and topology isolation.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605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37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Plant</w:t>
            </w:r>
          </w:p>
        </w:tc>
        <w:tc>
          <w:tcPr>
            <w:tcW w:type="dxa" w:w="835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Port</w:t>
            </w:r>
          </w:p>
        </w:tc>
        <w:tc>
          <w:tcPr>
            <w:tcW w:type="dxa" w:w="893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Cap. (u/d)</w:t>
            </w:r>
          </w:p>
        </w:tc>
        <w:tc>
          <w:tcPr>
            <w:tcW w:type="dxa" w:w="893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CPU ($/u)</w:t>
            </w:r>
          </w:p>
        </w:tc>
        <w:tc>
          <w:tcPr>
            <w:tcW w:type="dxa" w:w="1037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Composite</w:t>
            </w:r>
          </w:p>
        </w:tc>
        <w:tc>
          <w:tcPr>
            <w:tcW w:type="dxa" w:w="6106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Key signals</w:t>
            </w:r>
          </w:p>
        </w:tc>
      </w:tr>
      <w:tr>
        <w:tc>
          <w:tcPr>
            <w:tcW w:type="dxa" w:w="605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PLANT08</w:t>
            </w:r>
          </w:p>
        </w:tc>
        <w:tc>
          <w:tcPr>
            <w:tcW w:type="dxa" w:w="835"/>
          </w:tcPr>
          <w:p>
            <w:pPr>
              <w:spacing w:after="20"/>
            </w:pPr>
            <w:r>
              <w:rPr>
                <w:sz w:val="16"/>
              </w:rPr>
              <w:t>PORT04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0.52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70.5</w:t>
            </w:r>
          </w:p>
        </w:tc>
        <w:tc>
          <w:tcPr>
            <w:tcW w:type="dxa" w:w="6106"/>
          </w:tcPr>
          <w:p>
            <w:pPr>
              <w:spacing w:after="20"/>
            </w:pPr>
            <w:r>
              <w:rPr>
                <w:sz w:val="16"/>
              </w:rPr>
              <w:t>Late rate 17.6% (network worst); 50% detractors; 102 orders, 5 customers</w:t>
            </w:r>
          </w:p>
        </w:tc>
      </w:tr>
      <w:tr>
        <w:tc>
          <w:tcPr>
            <w:tcW w:type="dxa" w:w="605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PLANT19</w:t>
            </w:r>
          </w:p>
        </w:tc>
        <w:tc>
          <w:tcPr>
            <w:tcW w:type="dxa" w:w="835"/>
          </w:tcPr>
          <w:p>
            <w:pPr>
              <w:spacing w:after="20"/>
            </w:pPr>
            <w:r>
              <w:rPr>
                <w:sz w:val="16"/>
              </w:rPr>
              <w:t>PORT04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0.64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66.5</w:t>
            </w:r>
          </w:p>
        </w:tc>
        <w:tc>
          <w:tcPr>
            <w:tcW w:type="dxa" w:w="6106"/>
          </w:tcPr>
          <w:p>
            <w:pPr>
              <w:spacing w:after="20"/>
            </w:pPr>
            <w:r>
              <w:rPr>
                <w:sz w:val="16"/>
              </w:rPr>
              <w:t>Smallest plant; no observable commercial book (data gap flagged)</w:t>
            </w:r>
          </w:p>
        </w:tc>
      </w:tr>
      <w:tr>
        <w:tc>
          <w:tcPr>
            <w:tcW w:type="dxa" w:w="605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PLANT09</w:t>
            </w:r>
          </w:p>
        </w:tc>
        <w:tc>
          <w:tcPr>
            <w:tcW w:type="dxa" w:w="835"/>
          </w:tcPr>
          <w:p>
            <w:pPr>
              <w:spacing w:after="20"/>
            </w:pPr>
            <w:r>
              <w:rPr>
                <w:sz w:val="16"/>
              </w:rPr>
              <w:t>PORT04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0.47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66.2</w:t>
            </w:r>
          </w:p>
        </w:tc>
        <w:tc>
          <w:tcPr>
            <w:tcW w:type="dxa" w:w="6106"/>
          </w:tcPr>
          <w:p>
            <w:pPr>
              <w:spacing w:after="20"/>
            </w:pPr>
            <w:r>
              <w:rPr>
                <w:sz w:val="16"/>
              </w:rPr>
              <w:t>Worst satisfaction (2.50/5); 50% detractors; 12 orders, 2 customers</w:t>
            </w:r>
          </w:p>
        </w:tc>
      </w:tr>
      <w:tr>
        <w:tc>
          <w:tcPr>
            <w:tcW w:type="dxa" w:w="605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PLANT15</w:t>
            </w:r>
          </w:p>
        </w:tc>
        <w:tc>
          <w:tcPr>
            <w:tcW w:type="dxa" w:w="835"/>
          </w:tcPr>
          <w:p>
            <w:pPr>
              <w:spacing w:after="20"/>
            </w:pPr>
            <w:r>
              <w:rPr>
                <w:sz w:val="16"/>
              </w:rPr>
              <w:t>PORT08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1.42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55.5</w:t>
            </w:r>
          </w:p>
        </w:tc>
        <w:tc>
          <w:tcPr>
            <w:tcW w:type="dxa" w:w="6106"/>
          </w:tcPr>
          <w:p>
            <w:pPr>
              <w:spacing w:after="20"/>
            </w:pPr>
            <w:r>
              <w:rPr>
                <w:sz w:val="16"/>
              </w:rPr>
              <w:t>Single-tenant port; most expensive lane ($100.46/shipment avg; TPT 4.8d)</w:t>
            </w:r>
          </w:p>
        </w:tc>
      </w:tr>
      <w:tr>
        <w:tc>
          <w:tcPr>
            <w:tcW w:type="dxa" w:w="605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PLANT18</w:t>
            </w:r>
          </w:p>
        </w:tc>
        <w:tc>
          <w:tcPr>
            <w:tcW w:type="dxa" w:w="835"/>
          </w:tcPr>
          <w:p>
            <w:pPr>
              <w:spacing w:after="20"/>
            </w:pPr>
            <w:r>
              <w:rPr>
                <w:sz w:val="16"/>
              </w:rPr>
              <w:t>PORT11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111</w:t>
            </w:r>
          </w:p>
        </w:tc>
        <w:tc>
          <w:tcPr>
            <w:tcW w:type="dxa" w:w="893"/>
          </w:tcPr>
          <w:p>
            <w:pPr>
              <w:spacing w:after="20"/>
            </w:pPr>
            <w:r>
              <w:rPr>
                <w:sz w:val="16"/>
              </w:rPr>
              <w:t>2.04</w:t>
            </w:r>
          </w:p>
        </w:tc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51.0</w:t>
            </w:r>
          </w:p>
        </w:tc>
        <w:tc>
          <w:tcPr>
            <w:tcW w:type="dxa" w:w="6106"/>
          </w:tcPr>
          <w:p>
            <w:pPr>
              <w:spacing w:after="20"/>
            </w:pPr>
            <w:r>
              <w:rPr>
                <w:sz w:val="16"/>
              </w:rPr>
              <w:t>Highest unit cost; single-tenant port; largest candidate book (111 u/d)</w:t>
            </w:r>
          </w:p>
        </w:tc>
      </w:tr>
    </w:tbl>
    <w:p>
      <w:pPr>
        <w:spacing w:after="40" w:before="0"/>
      </w:pPr>
      <w:r>
        <w:rPr>
          <w:b w:val="0"/>
          <w:i w:val="0"/>
          <w:sz w:val="4"/>
        </w:rPr>
      </w:r>
    </w:p>
    <w:p>
      <w:pPr>
        <w:spacing w:after="40" w:before="0"/>
      </w:pPr>
      <w:r>
        <w:rPr>
          <w:b w:val="0"/>
          <w:i w:val="0"/>
          <w:sz w:val="18"/>
        </w:rPr>
        <w:t>Topology-constrained redistribution (greedy cheapest-first, absorbers capped at 85% of stated capacity, 15% assumed headroom; all candidate volume placed):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Candidate</w:t>
            </w:r>
          </w:p>
        </w:tc>
        <w:tc>
          <w:tcPr>
            <w:tcW w:type="dxa" w:w="3744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Redistribution plan</w:t>
            </w:r>
          </w:p>
        </w:tc>
        <w:tc>
          <w:tcPr>
            <w:tcW w:type="dxa" w:w="1512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Variable impact ($/yr)</w:t>
            </w:r>
          </w:p>
        </w:tc>
        <w:tc>
          <w:tcPr>
            <w:tcW w:type="dxa" w:w="3744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Service effect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PLANT08 (14 u/d)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To PLANT13 - same port (PORT04)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-$272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None: same-port lane preserved, TPT unchanged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PLANT19 (7 u/d)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To PLANT13 - same port (PORT04)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-$434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None: same-port lane preserved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PLANT09 (11 u/d)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To PLANT13 - same port (PORT04)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$19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None: same-port lane preserved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PLANT15 (11 u/d)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To PLANT07 - cross-port (PORT08 &gt; PORT02)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-$4,902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Transit improves ~3.2 days on a $100/shipment lane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PLANT18 (111 u/d)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To PLANT07 (28.8 u/d) + PLANT04 (82.2 u/d) - cross-port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sz w:val="16"/>
              </w:rPr>
              <w:t>-$65,786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6"/>
              </w:rPr>
              <w:t>Transit improves ~3.7-4.0 days; largest variable saving</w:t>
            </w:r>
          </w:p>
        </w:tc>
      </w:tr>
    </w:tbl>
    <w:p>
      <w:pPr>
        <w:spacing w:after="40" w:before="0"/>
      </w:pPr>
      <w:r>
        <w:rPr>
          <w:b w:val="0"/>
          <w:i w:val="0"/>
          <w:sz w:val="4"/>
        </w:rPr>
      </w:r>
    </w:p>
    <w:p>
      <w:pPr>
        <w:spacing w:after="80" w:before="0"/>
      </w:pPr>
      <w:r>
        <w:rPr>
          <w:b w:val="0"/>
          <w:i w:val="0"/>
          <w:sz w:val="18"/>
        </w:rPr>
        <w:t>Economics and the honest caveat. Aggregate data-derived variable saving is only $71,376/yr (the PLANT09 move is cost-neutral, +$19/yr). The investment case therefore rests entirely on fixed-cost removal, which the provided WhCosts file does not contain (single Cost_Per_Unit column). Using a flagged benchmark of $150K-$400K per closed site per year and $100K-$250K one-time transition cost, five closures imply: steady-state saving $821,376 to $2,071,376 per year (of which $750,000 to $2,000,000 is assumed, not measured); one-time transition $500,000 to $1,250,000; year-1 net saving $321,376 to $821,376; payback roughly 7-8 months if the fixed-cost assumption holds - and never, from variable savings alone, if it does not. We therefore recommend a Phase-0 finance validation gate before any irreversible action (§6).</w:t>
      </w:r>
    </w:p>
    <w:p>
      <w:pPr>
        <w:spacing w:after="80" w:before="160"/>
      </w:pPr>
      <w:r>
        <w:rPr>
          <w:b/>
          <w:i w:val="0"/>
          <w:color w:val="1F3864"/>
          <w:sz w:val="23"/>
        </w:rPr>
        <w:t>3.  IMPLEMENTATION RISK ASSESSMENT</w:t>
      </w:r>
    </w:p>
    <w:p>
      <w:pPr>
        <w:spacing w:after="40" w:before="0"/>
      </w:pPr>
      <w:r>
        <w:rPr>
          <w:b w:val="0"/>
          <w:i w:val="0"/>
          <w:sz w:val="18"/>
        </w:rPr>
        <w:t>Customer attrition risk is assessed by cross-referencing the Q4 complaint log with each closure candidate and the survey detractor base (full register and mitigation plan in the Risk_Matrix tab):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37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Plant</w:t>
            </w:r>
          </w:p>
        </w:tc>
        <w:tc>
          <w:tcPr>
            <w:tcW w:type="dxa" w:w="1368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4608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Attrition exposure</w:t>
            </w:r>
          </w:p>
        </w:tc>
        <w:tc>
          <w:tcPr>
            <w:tcW w:type="dxa" w:w="3499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Primary mitigations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PLANT08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17.6% late (worst); 3 complaints (1 High, 2 open); 8 survey responses, 50% detractors; 5 shipment customers on an active 102-order book</w:t>
            </w:r>
          </w:p>
        </w:tc>
        <w:tc>
          <w:tcPr>
            <w:tcW w:type="dxa" w:w="3499"/>
          </w:tcPr>
          <w:p>
            <w:pPr>
              <w:spacing w:after="20"/>
            </w:pPr>
            <w:r>
              <w:rPr>
                <w:sz w:val="16"/>
              </w:rPr>
              <w:t>90-day service recovery at receivers (PLANT03/13) before migration; named-account retention calls to all 5 customers + 4 detractors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PLANT09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Worst satisfaction (2.50/5); 3 complaints (2 open: wrong-items High, POD gap); 50% detractors; book limited to 2 customers</w:t>
            </w:r>
          </w:p>
        </w:tc>
        <w:tc>
          <w:tcPr>
            <w:tcW w:type="dxa" w:w="3499"/>
          </w:tcPr>
          <w:p>
            <w:pPr>
              <w:spacing w:after="20"/>
            </w:pPr>
            <w:r>
              <w:rPr>
                <w:sz w:val="16"/>
              </w:rPr>
              <w:t>Close both open complaints (weeks 1-6); position migration as service improvement at PLANT13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PLANT19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6"/>
              </w:rPr>
              <w:t>MEDIUM (data gap)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No customer data on file; risk cannot be evidenced either way; confirm zero active accounts with Finance before action</w:t>
            </w:r>
          </w:p>
        </w:tc>
        <w:tc>
          <w:tcPr>
            <w:tcW w:type="dxa" w:w="3499"/>
          </w:tcPr>
          <w:p>
            <w:pPr>
              <w:spacing w:after="20"/>
            </w:pPr>
            <w:r>
              <w:rPr>
                <w:sz w:val="16"/>
              </w:rPr>
              <w:t>Written account confirmation (weeks 1-2); close first as the low-exposure pilot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PLANT15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6"/>
              </w:rPr>
              <w:t>LOW-MEDIUM (data gap)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No customer data on file; tiny volume (11 u/d) limits exposure; worst lane economics argue for speed</w:t>
            </w:r>
          </w:p>
        </w:tc>
        <w:tc>
          <w:tcPr>
            <w:tcW w:type="dxa" w:w="3499"/>
          </w:tcPr>
          <w:p>
            <w:pPr>
              <w:spacing w:after="20"/>
            </w:pPr>
            <w:r>
              <w:rPr>
                <w:sz w:val="16"/>
              </w:rPr>
              <w:t>Re-route to PLANT07 (weeks 2-8); monitor transit &lt;= 2 days post-cutover</w:t>
            </w:r>
          </w:p>
        </w:tc>
      </w:tr>
      <w:tr>
        <w:tc>
          <w:tcPr>
            <w:tcW w:type="dxa" w:w="1037"/>
          </w:tcPr>
          <w:p>
            <w:pPr>
              <w:spacing w:after="20"/>
            </w:pPr>
            <w:r>
              <w:rPr>
                <w:sz w:val="16"/>
              </w:rPr>
              <w:t>PLANT18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sz w:val="16"/>
              </w:rPr>
              <w:t>MEDIUM (data gap)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6"/>
              </w:rPr>
              <w:t>No customer data on file but the largest candidate book (111 u/d) - any unrecorded book here is the biggest blind spot in the program</w:t>
            </w:r>
          </w:p>
        </w:tc>
        <w:tc>
          <w:tcPr>
            <w:tcW w:type="dxa" w:w="3499"/>
          </w:tcPr>
          <w:p>
            <w:pPr>
              <w:spacing w:after="20"/>
            </w:pPr>
            <w:r>
              <w:rPr>
                <w:sz w:val="16"/>
              </w:rPr>
              <w:t>Two-quarter phased migration (PLANT07 then PLANT04); no service-regression exit criterion missed</w:t>
            </w:r>
          </w:p>
        </w:tc>
      </w:tr>
    </w:tbl>
    <w:p>
      <w:pPr>
        <w:spacing w:after="40" w:before="0"/>
      </w:pPr>
      <w:r>
        <w:rPr>
          <w:b w:val="0"/>
          <w:i w:val="0"/>
          <w:sz w:val="4"/>
        </w:rPr>
      </w:r>
    </w:p>
    <w:p>
      <w:pPr>
        <w:spacing w:after="80" w:before="0"/>
      </w:pPr>
      <w:r>
        <w:rPr>
          <w:b w:val="0"/>
          <w:i w:val="0"/>
          <w:sz w:val="18"/>
        </w:rPr>
        <w:t>Program-level risks beyond attrition: (i) data gaps - 12 of 19 plants uncovered and the one-day extract mean the scoring model is a decision aid, not an audit; (ii) rate-card gaps - carrier V44_3 (854 orders, all CRF) is absent from FreightRates and CRF service is unrated, so CRF freight economics are unpriced; (iii) PORT01 has no rate card (PLANT01/07/10 lanes priced via PORT02); (iv) customer identity cannot be joined between OrderList (V-codes) and survey/complaint records (CUST-codes), so attrition exposure is measured at plant, not customer, level; (v) migration execution risk concentrates in PLANT18 (largest book, cross-port moves).</w:t>
      </w:r>
    </w:p>
    <w:p>
      <w:pPr>
        <w:spacing w:after="80" w:before="160"/>
      </w:pPr>
      <w:r>
        <w:rPr>
          <w:b/>
          <w:i w:val="0"/>
          <w:color w:val="1F3864"/>
          <w:sz w:val="23"/>
        </w:rPr>
        <w:t>4.  GO/NO-GO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368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Plant</w:t>
            </w:r>
          </w:p>
        </w:tc>
        <w:tc>
          <w:tcPr>
            <w:tcW w:type="dxa" w:w="1656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488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Rationale (grounded in scoring, scenarios and risk)</w:t>
            </w:r>
          </w:p>
        </w:tc>
      </w:tr>
      <w:tr>
        <w:tc>
          <w:tcPr>
            <w:tcW w:type="dxa" w:w="1368"/>
            <w:shd w:val="clear" w:fill="F8CBAD"/>
          </w:tcPr>
          <w:p>
            <w:pPr>
              <w:spacing w:after="20"/>
            </w:pPr>
            <w:r>
              <w:rPr>
                <w:sz w:val="16"/>
              </w:rPr>
              <w:t>PLANT19</w:t>
            </w:r>
          </w:p>
        </w:tc>
        <w:tc>
          <w:tcPr>
            <w:tcW w:type="dxa" w:w="1656"/>
            <w:shd w:val="clear" w:fill="F8CBAD"/>
          </w:tcPr>
          <w:p>
            <w:pPr>
              <w:spacing w:after="20"/>
            </w:pPr>
            <w:r>
              <w:rPr>
                <w:sz w:val="16"/>
              </w:rPr>
              <w:t>CLOSE</w:t>
            </w:r>
          </w:p>
        </w:tc>
        <w:tc>
          <w:tcPr>
            <w:tcW w:type="dxa" w:w="7488"/>
            <w:shd w:val="clear" w:fill="F8CBAD"/>
          </w:tcPr>
          <w:p>
            <w:pPr>
              <w:spacing w:after="20"/>
            </w:pPr>
            <w:r>
              <w:rPr>
                <w:sz w:val="16"/>
              </w:rPr>
              <w:t>Rank 2; smallest capacity (7 u/d); no observable commercial book; trivial same-port absorption to PLANT13. Execute first as the pilot closure.</w:t>
            </w:r>
          </w:p>
        </w:tc>
      </w:tr>
      <w:tr>
        <w:tc>
          <w:tcPr>
            <w:tcW w:type="dxa" w:w="1368"/>
            <w:shd w:val="clear" w:fill="F8CBAD"/>
          </w:tcPr>
          <w:p>
            <w:pPr>
              <w:spacing w:after="20"/>
            </w:pPr>
            <w:r>
              <w:rPr>
                <w:sz w:val="16"/>
              </w:rPr>
              <w:t>PLANT15</w:t>
            </w:r>
          </w:p>
        </w:tc>
        <w:tc>
          <w:tcPr>
            <w:tcW w:type="dxa" w:w="1656"/>
            <w:shd w:val="clear" w:fill="F8CBAD"/>
          </w:tcPr>
          <w:p>
            <w:pPr>
              <w:spacing w:after="20"/>
            </w:pPr>
            <w:r>
              <w:rPr>
                <w:sz w:val="16"/>
              </w:rPr>
              <w:t>CLOSE</w:t>
            </w:r>
          </w:p>
        </w:tc>
        <w:tc>
          <w:tcPr>
            <w:tcW w:type="dxa" w:w="7488"/>
            <w:shd w:val="clear" w:fill="F8CBAD"/>
          </w:tcPr>
          <w:p>
            <w:pPr>
              <w:spacing w:after="20"/>
            </w:pPr>
            <w:r>
              <w:rPr>
                <w:sz w:val="16"/>
              </w:rPr>
              <w:t>Rank 4; single-tenant PORT08 with the worst lane in the network ($100.46/shipment avg, TPT 4.8d); cross-port move to PLANT07 saves $4.9K/yr variable and cuts transit ~3.2 days.</w:t>
            </w:r>
          </w:p>
        </w:tc>
      </w:tr>
      <w:tr>
        <w:tc>
          <w:tcPr>
            <w:tcW w:type="dxa" w:w="1368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PLANT08</w:t>
            </w:r>
          </w:p>
        </w:tc>
        <w:tc>
          <w:tcPr>
            <w:tcW w:type="dxa" w:w="1656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CONSOLIDATE</w:t>
            </w:r>
          </w:p>
        </w:tc>
        <w:tc>
          <w:tcPr>
            <w:tcW w:type="dxa" w:w="7488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Rank 1 composite and worst service record (17.6% late, 50% detractors) - consolidation improves the network, but the active book (5 shipment customers) makes sequencing decisive: 90-day service recovery first, then migrate.</w:t>
            </w:r>
          </w:p>
        </w:tc>
      </w:tr>
      <w:tr>
        <w:tc>
          <w:tcPr>
            <w:tcW w:type="dxa" w:w="1368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PLANT09</w:t>
            </w:r>
          </w:p>
        </w:tc>
        <w:tc>
          <w:tcPr>
            <w:tcW w:type="dxa" w:w="1656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CONSOLIDATE</w:t>
            </w:r>
          </w:p>
        </w:tc>
        <w:tc>
          <w:tcPr>
            <w:tcW w:type="dxa" w:w="7488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Rank 3; worst satisfaction (2.50/5) with an active complaint exposure - migrate after open complaints are closed; tiny book keeps exposure low.</w:t>
            </w:r>
          </w:p>
        </w:tc>
      </w:tr>
      <w:tr>
        <w:tc>
          <w:tcPr>
            <w:tcW w:type="dxa" w:w="1368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PLANT18</w:t>
            </w:r>
          </w:p>
        </w:tc>
        <w:tc>
          <w:tcPr>
            <w:tcW w:type="dxa" w:w="1656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CONSOLIDATE</w:t>
            </w:r>
          </w:p>
        </w:tc>
        <w:tc>
          <w:tcPr>
            <w:tcW w:type="dxa" w:w="7488"/>
            <w:shd w:val="clear" w:fill="FFF2CC"/>
          </w:tcPr>
          <w:p>
            <w:pPr>
              <w:spacing w:after="20"/>
            </w:pPr>
            <w:r>
              <w:rPr>
                <w:sz w:val="16"/>
              </w:rPr>
              <w:t>Rank 5; highest unit cost ($2.04/u) and largest candidate book (111 u/d) with the largest variable saving ($65.8K/yr) - phased two-quarter migration to PLANT07/PLANT04.</w:t>
            </w:r>
          </w:p>
        </w:tc>
      </w:tr>
      <w:tr>
        <w:tc>
          <w:tcPr>
            <w:tcW w:type="dxa" w:w="1368"/>
            <w:shd w:val="clear" w:fill="E2EFDA"/>
          </w:tcPr>
          <w:p>
            <w:pPr>
              <w:spacing w:after="20"/>
            </w:pPr>
            <w:r>
              <w:rPr>
                <w:sz w:val="16"/>
              </w:rPr>
              <w:t>PLANT17, PLANT06</w:t>
            </w:r>
          </w:p>
        </w:tc>
        <w:tc>
          <w:tcPr>
            <w:tcW w:type="dxa" w:w="1656"/>
            <w:shd w:val="clear" w:fill="E2EFDA"/>
          </w:tcPr>
          <w:p>
            <w:pPr>
              <w:spacing w:after="20"/>
            </w:pPr>
            <w:r>
              <w:rPr>
                <w:sz w:val="16"/>
              </w:rPr>
              <w:t>RETAIN &amp; MONITOR</w:t>
            </w:r>
          </w:p>
        </w:tc>
        <w:tc>
          <w:tcPr>
            <w:tcW w:type="dxa" w:w="7488"/>
            <w:shd w:val="clear" w:fill="E2EFDA"/>
          </w:tcPr>
          <w:p>
            <w:pPr>
              <w:spacing w:after="20"/>
            </w:pPr>
            <w:r>
              <w:rPr>
                <w:sz w:val="16"/>
              </w:rPr>
              <w:t>Next tier by score (42.6 / 41.3) but not top-5; PLANT17 sits on an expensive lane ($36.45/shipment avg) and PLANT06 shares PORT06 with PLANT05 - both enter the annual watchlist review with defined triggers (volume decline, cost escalation).</w:t>
            </w:r>
          </w:p>
        </w:tc>
      </w:tr>
    </w:tbl>
    <w:p>
      <w:pPr>
        <w:spacing w:after="40" w:before="0"/>
      </w:pPr>
      <w:r>
        <w:rPr>
          <w:b w:val="0"/>
          <w:i w:val="0"/>
          <w:sz w:val="4"/>
        </w:rPr>
      </w:r>
    </w:p>
    <w:p>
      <w:pPr>
        <w:spacing w:after="80" w:before="0"/>
      </w:pPr>
      <w:r>
        <w:rPr>
          <w:b w:val="0"/>
          <w:i w:val="0"/>
          <w:sz w:val="18"/>
        </w:rPr>
        <w:t>Sequencing: Phase 0 (weeks 1-4) finance validation gate + account confirmations; Phase 1 (quarters 1-2) close PLANT19 and PLANT15 - the low-exposure pilot pair; Phase 2 (quarters 2-3) migrate PLANT09, then PLANT08 after service recovery; Phase 3 (quarters 2-4) phased PLANT18 migration.</w:t>
      </w:r>
    </w:p>
    <w:p>
      <w:pPr>
        <w:spacing w:after="80" w:before="160"/>
      </w:pPr>
      <w:r>
        <w:rPr>
          <w:b/>
          <w:i w:val="0"/>
          <w:color w:val="1F3864"/>
          <w:sz w:val="23"/>
        </w:rPr>
        <w:t>5.  COO MEMO vs. BOARD DIRECTIVE - ALIGNMENT AND CONFLICTS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8611"/>
            <w:shd w:val="clear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6"/>
              </w:rPr>
              <w:t>Aligned</w:t>
            </w:r>
          </w:p>
        </w:tc>
        <w:tc>
          <w:tcPr>
            <w:tcW w:type="dxa" w:w="8611"/>
          </w:tcPr>
          <w:p>
            <w:pPr>
              <w:spacing w:after="20"/>
            </w:pPr>
            <w:r>
              <w:rPr>
                <w:sz w:val="16"/>
              </w:rPr>
              <w:t>Scope (19-plant network) and the consolidation question itself; the ~2% late-shipment concern (verified: 2.08%); use of the pinned external dataset (memo §4 adopted as instructed).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6"/>
              </w:rPr>
              <w:t>Deliverable form</w:t>
            </w:r>
          </w:p>
        </w:tc>
        <w:tc>
          <w:tcPr>
            <w:tcW w:type="dxa" w:w="8611"/>
          </w:tcPr>
          <w:p>
            <w:pPr>
              <w:spacing w:after="20"/>
            </w:pPr>
            <w:r>
              <w:rPr>
                <w:sz w:val="16"/>
              </w:rPr>
              <w:t>CONFLICT: memo promises a 10-page efficiency summary in 2 weeks; the Board directive requires a 5-page decision brief plus scoring model. This brief follows the Board directive.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6"/>
              </w:rPr>
              <w:t>Cost model</w:t>
            </w:r>
          </w:p>
        </w:tc>
        <w:tc>
          <w:tcPr>
            <w:tcW w:type="dxa" w:w="8611"/>
          </w:tcPr>
          <w:p>
            <w:pPr>
              <w:spacing w:after="20"/>
            </w:pPr>
            <w:r>
              <w:rPr>
                <w:sz w:val="16"/>
              </w:rPr>
              <w:t>CONFLICT: memo (§2) states WhCosts carries fixed and variable components; the file has a single per-unit column (C-7, NOT SUPPORTED). The fixed-savings case is therefore an assumption - see the Phase-0 gate (§6).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6"/>
              </w:rPr>
              <w:t>Utilization claim</w:t>
            </w:r>
          </w:p>
        </w:tc>
        <w:tc>
          <w:tcPr>
            <w:tcW w:type="dxa" w:w="8611"/>
          </w:tcPr>
          <w:p>
            <w:pPr>
              <w:spacing w:after="20"/>
            </w:pPr>
            <w:r>
              <w:rPr>
                <w:sz w:val="16"/>
              </w:rPr>
              <w:t>CONFLICT: memo’s PLANT01 "~1,070 units/day" and PLANT15 "~11 units/day" figures equal stated daily capacity exactly - they are capacity, not observed throughput (C-4, MISCHARACTERIZED); utilization cannot be verified from the data provided.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6"/>
              </w:rPr>
              <w:t>Mode / cost narrative</w:t>
            </w:r>
          </w:p>
        </w:tc>
        <w:tc>
          <w:tcPr>
            <w:tcW w:type="dxa" w:w="8611"/>
          </w:tcPr>
          <w:p>
            <w:pPr>
              <w:spacing w:after="20"/>
            </w:pPr>
            <w:r>
              <w:rPr>
                <w:sz w:val="16"/>
              </w:rPr>
              <w:t>CONFLICT: memo flags AIR as the high-cost mode; rate cards show GROUND blended rates exceed AIR, and no SEA rates exist at all (C-5/C-6). The memo’s mode-cost framing is not supported by the pinned data.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6"/>
              </w:rPr>
              <w:t>Service levels</w:t>
            </w:r>
          </w:p>
        </w:tc>
        <w:tc>
          <w:tcPr>
            <w:tcW w:type="dxa" w:w="8611"/>
          </w:tcPr>
          <w:p>
            <w:pPr>
              <w:spacing w:after="20"/>
            </w:pPr>
            <w:r>
              <w:rPr>
                <w:sz w:val="16"/>
              </w:rPr>
              <w:t>TENSION: memo lists CRF among core service levels; CRF is unrated and its carrier (V44_3, 854 orders) is absent from the rate cards (F-04). CRF exposure is unpriced in all scenarios.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sz w:val="16"/>
              </w:rPr>
              <w:t>Resolution</w:t>
            </w:r>
          </w:p>
        </w:tc>
        <w:tc>
          <w:tcPr>
            <w:tcW w:type="dxa" w:w="8611"/>
          </w:tcPr>
          <w:p>
            <w:pPr>
              <w:spacing w:after="20"/>
            </w:pPr>
            <w:r>
              <w:rPr>
                <w:sz w:val="16"/>
              </w:rPr>
              <w:t>The Board directive governs. All memo discrepancies are logged with evidence in the Data_Reconciliation tab (claims C-1..C-8, findings F-01..F-10) rather than silently absorbed into the model.</w:t>
            </w:r>
          </w:p>
        </w:tc>
      </w:tr>
    </w:tbl>
    <w:p>
      <w:pPr>
        <w:spacing w:after="40" w:before="0"/>
      </w:pPr>
      <w:r>
        <w:rPr>
          <w:b w:val="0"/>
          <w:i w:val="0"/>
          <w:sz w:val="4"/>
        </w:rPr>
      </w:r>
    </w:p>
    <w:p>
      <w:pPr>
        <w:spacing w:after="80" w:before="160"/>
      </w:pPr>
      <w:r>
        <w:rPr>
          <w:b/>
          <w:i w:val="0"/>
          <w:color w:val="1F3864"/>
          <w:sz w:val="23"/>
        </w:rPr>
        <w:t>6.  CONDITIONS PRECEDENT AND REQUESTED BOARD ACTION</w:t>
      </w:r>
    </w:p>
    <w:p>
      <w:pPr>
        <w:spacing w:after="40"/>
      </w:pPr>
      <w:r>
        <w:rPr>
          <w:b/>
          <w:sz w:val="18"/>
        </w:rPr>
        <w:t xml:space="preserve">1.  </w:t>
      </w:r>
      <w:r>
        <w:rPr>
          <w:sz w:val="18"/>
        </w:rPr>
        <w:t>Finance validation of the $150K-$400K/site fixed-cost saving assumption (Phase 0 gate - no irreversible action before sign-off).</w:t>
      </w:r>
    </w:p>
    <w:p>
      <w:pPr>
        <w:spacing w:after="40"/>
      </w:pPr>
      <w:r>
        <w:rPr>
          <w:b/>
          <w:sz w:val="18"/>
        </w:rPr>
        <w:t xml:space="preserve">2.  </w:t>
      </w:r>
      <w:r>
        <w:rPr>
          <w:sz w:val="18"/>
        </w:rPr>
        <w:t>Master-data remediation before final closure design: full-network order extract and unit-basis reconciliation (F-01/F-02/F-03), mode and SEA rate coverage (F-05), PORT01 rate card (F-06), CRF/V44_3 rates (F-04), customer-ID crosswalk (F-08).</w:t>
      </w:r>
    </w:p>
    <w:p>
      <w:pPr>
        <w:spacing w:after="40"/>
      </w:pPr>
      <w:r>
        <w:rPr>
          <w:b/>
          <w:sz w:val="18"/>
        </w:rPr>
        <w:t xml:space="preserve">3.  </w:t>
      </w:r>
      <w:r>
        <w:rPr>
          <w:sz w:val="18"/>
        </w:rPr>
        <w:t>Written confirmation of zero active commercial accounts at PLANT19 and PLANT15 (CFO office, weeks 1-2).</w:t>
      </w:r>
    </w:p>
    <w:p>
      <w:pPr>
        <w:spacing w:after="40"/>
      </w:pPr>
      <w:r>
        <w:rPr>
          <w:b/>
          <w:sz w:val="18"/>
        </w:rPr>
        <w:t xml:space="preserve">4.  </w:t>
      </w:r>
      <w:r>
        <w:rPr>
          <w:sz w:val="18"/>
        </w:rPr>
        <w:t>Retention and complaint-closure milestones gating Phase 2 (PLANT08/PLANT09) as listed in §3.</w:t>
      </w:r>
    </w:p>
    <w:p>
      <w:pPr>
        <w:spacing w:after="60" w:before="60"/>
      </w:pPr>
      <w:r>
        <w:rPr>
          <w:b w:val="0"/>
          <w:i w:val="0"/>
          <w:sz w:val="18"/>
        </w:rPr>
        <w:t>Requested board action: approve Phase 0 (finance validation, 4 weeks) and Phase 1 (PLANT19 and PLANT15 closure, quarters 1-2) in principle, with Phases 2-3 contingent on Phase-0 sign-off and Phase-1 service metrics.</w:t>
      </w:r>
    </w:p>
    <w:p>
      <w:pPr>
        <w:spacing w:after="60" w:before="80"/>
      </w:pPr>
      <w:r>
        <w:rPr>
          <w:b w:val="0"/>
          <w:i/>
          <w:color w:val="595959"/>
          <w:sz w:val="15"/>
        </w:rPr>
        <w:t>All figures trace to the companion workbook; assumptions are flagged where they occur. Prepared by the Supply Chain Analytics engagement team.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