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B63"/>
          <w:sz w:val="32"/>
        </w:rPr>
        <w:t>CITY OF GREENFIELD</w:t>
      </w:r>
    </w:p>
    <w:p>
      <w:pPr>
        <w:spacing w:after="200"/>
        <w:jc w:val="center"/>
      </w:pPr>
      <w:r>
        <w:rPr>
          <w:b/>
          <w:i w:val="0"/>
          <w:sz w:val="26"/>
        </w:rPr>
        <w:t>DECISION BRIEFING MEMORANDUM - DEPARTMENTAL RESTRUCTURING PROPOSALS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7488"/>
            <w:shd w:val="clear" w:fill="D9E2F3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TO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City Council, City of Greenfield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FROM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Office of Management and Budget - Management Analysis Unit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October 19, 2026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Evaluation of Departmental Restructuring Proposal A (Consolidation) and Proposal B (Targeted Fix); recommendation for Council vote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ATTACHMENTS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Cost-Benefit Analysis Workbook (Greenfield_CostBenefit_Analysis.xlsx); Council Presentation (Greenfield_Council_Presentation.pptx)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b w:val="0"/>
          <w:i w:val="0"/>
        </w:rPr>
        <w:t>The City of Greenfield's five operating departments (Fire, Health Services, Parks &amp; Recreation, Sanitation, Transportation) ended FY2024 with two structural weaknesses that are directly measurable in the FY2024 staffing, overtime, and 311 service-request data: (1) concentrated vacancies - 54 unfilled authorized positions citywide (9.1% vacancy rate), with Health Services at 16.7% and Transportation at 14.9%, both above the 12% flag threshold; and (2) sustained overtime reliance - $4.35M of overtime citywide (9.6% of regular hours), with Fire at 14.6% for all twelve months of the year. These staffing weaknesses map directly onto service failures: 8 of 25 tracked processes miss the 65% on-time standard, and the average closed 311 request takes 10.79 days to resolve at a 3.63/5 satisfaction rating.</w:t>
      </w:r>
    </w:p>
    <w:p>
      <w:r>
        <w:rPr>
          <w:b w:val="0"/>
          <w:i w:val="0"/>
        </w:rPr>
        <w:t>New York City's post-pandemic experience - documented in the NYS Comptroller's 2024 staffing report (Report 2-2025) and the NYC Mayor's Management Report (MMR) indicators - provides the benchmark context: NYC's vacancy rate peaked at 8.4% (December 2022) against a 2.0% pre-pandemic norm; overtime grew 62.9% to $1.81B; and the fastest recoveries (DCAS hiring turnaround down 31%, DOT pothole repair at 100% of target) tracked centralized hiring and staffing restoration - not structural merger.</w:t>
      </w:r>
    </w:p>
    <w:p>
      <w:r>
        <w:rPr>
          <w:b w:val="0"/>
          <w:i w:val="0"/>
        </w:rPr>
        <w:t>This memo evaluates both proposals on the Council's agenda and recommends a hybrid: adopt Proposal B's targeted interventions immediately (centralized hiring for the 8 divisions above the 12% vacancy trigger, a Fire overtime cap, and cross-training pools), and implement an 'A-lite' shared-services compact between Transportation and Sanitation (fleet coordination, shared winter operations, 6-position administrative deduplication) without a statutory merger. The Health-Parks merger component of Proposal A should be deferred to the FY2027 budget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val="clear" w:fill="D9E2F3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</w:rPr>
              <w:t>Annual budget impact (steady state)</w:t>
            </w:r>
          </w:p>
        </w:tc>
        <w:tc>
          <w:tcPr>
            <w:tcW w:type="dxa" w:w="2520"/>
            <w:shd w:val="clear" w:fill="D9E2F3"/>
          </w:tcPr>
          <w:p>
            <w:r/>
            <w:r>
              <w:rPr>
                <w:b/>
                <w:sz w:val="19"/>
              </w:rPr>
              <w:t>Service delivery impact</w:t>
            </w:r>
          </w:p>
        </w:tc>
        <w:tc>
          <w:tcPr>
            <w:tcW w:type="dxa" w:w="1368"/>
            <w:shd w:val="clear" w:fill="D9E2F3"/>
          </w:tcPr>
          <w:p>
            <w:r/>
            <w:r>
              <w:rPr>
                <w:b/>
                <w:sz w:val="19"/>
              </w:rPr>
              <w:t>Complexity / Risk</w:t>
            </w:r>
          </w:p>
        </w:tc>
        <w:tc>
          <w:tcPr>
            <w:tcW w:type="dxa" w:w="720"/>
            <w:shd w:val="clear" w:fill="D9E2F3"/>
          </w:tcPr>
          <w:p>
            <w:r/>
            <w:r>
              <w:rPr>
                <w:b/>
                <w:sz w:val="19"/>
              </w:rPr>
              <w:t>Score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Proposal A (Consolidate)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$829K/yr steady savings (Y1 $505K net of $250K one-time cost)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8 -&gt; 5 failing processes; avg +4.0 pts on-time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 / 4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2.9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Proposal B (Targeted Fix)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-$832K/yr net cost (Y1 -$1.17M); no new appropriation - within the 596-position authorized envelope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8 -&gt; 3 failing processes; avg +6.6 pts on-time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/ 2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3.1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Hybrid (RECOMMENDED)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-$379K/yr net cost (Y1 -$942K); $453K/yr savings from the A-lite compact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8 -&gt; 2 failing processes; avg +7.2 pts on-time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 / 3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3.3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Scoring: savings 30%, SLA improvement 25%, implementation complexity 20% (inverted), risk 15% (inverted), FTE reallocation 10%. Full scoring appears in the Comparison Summary tab of the attached workbook and Section 5 below.</w:t>
      </w:r>
    </w:p>
    <w:p>
      <w:pPr>
        <w:pStyle w:val="Heading1"/>
      </w:pPr>
      <w:r>
        <w:t>1. Situation Overview: Staffing Health and Citizen Service Outcomes</w:t>
      </w:r>
    </w:p>
    <w:p>
      <w:r>
        <w:rPr>
          <w:b w:val="0"/>
          <w:i w:val="0"/>
        </w:rPr>
        <w:t>The Council asked whether staffing health and citizen service outcomes are connected, and whether the two proposals address the right problems. The FY2024 data answer both questions. Table 1 is the department scorecard; red-flag thresholds are vacancy above 12% of authorized positions, overtime above 10% of regular hours, and any tracked process below 65% on-time completion.</w:t>
      </w:r>
    </w:p>
    <w:p>
      <w:pPr>
        <w:pStyle w:val="Heading2"/>
      </w:pPr>
      <w:r>
        <w:t>1.1 Department scorecard (FY2024 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656"/>
            <w:shd w:val="clear" w:fill="D9E2F3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648"/>
            <w:shd w:val="clear" w:fill="D9E2F3"/>
          </w:tcPr>
          <w:p>
            <w:r/>
            <w:r>
              <w:rPr>
                <w:b/>
                <w:sz w:val="19"/>
              </w:rPr>
              <w:t>Auth.</w:t>
            </w:r>
          </w:p>
        </w:tc>
        <w:tc>
          <w:tcPr>
            <w:tcW w:type="dxa" w:w="648"/>
            <w:shd w:val="clear" w:fill="D9E2F3"/>
          </w:tcPr>
          <w:p>
            <w:r/>
            <w:r>
              <w:rPr>
                <w:b/>
                <w:sz w:val="19"/>
              </w:rPr>
              <w:t>Filled</w:t>
            </w:r>
          </w:p>
        </w:tc>
        <w:tc>
          <w:tcPr>
            <w:tcW w:type="dxa" w:w="576"/>
            <w:shd w:val="clear" w:fill="D9E2F3"/>
          </w:tcPr>
          <w:p>
            <w:r/>
            <w:r>
              <w:rPr>
                <w:b/>
                <w:sz w:val="19"/>
              </w:rPr>
              <w:t>Vac.</w:t>
            </w:r>
          </w:p>
        </w:tc>
        <w:tc>
          <w:tcPr>
            <w:tcW w:type="dxa" w:w="936"/>
            <w:shd w:val="clear" w:fill="D9E2F3"/>
          </w:tcPr>
          <w:p>
            <w:r/>
            <w:r>
              <w:rPr>
                <w:b/>
                <w:sz w:val="19"/>
              </w:rPr>
              <w:t>Vacancy %</w:t>
            </w:r>
          </w:p>
        </w:tc>
        <w:tc>
          <w:tcPr>
            <w:tcW w:type="dxa" w:w="864"/>
            <w:shd w:val="clear" w:fill="D9E2F3"/>
          </w:tcPr>
          <w:p>
            <w:r/>
            <w:r>
              <w:rPr>
                <w:b/>
                <w:sz w:val="19"/>
              </w:rPr>
              <w:t>OT % reg.</w:t>
            </w:r>
          </w:p>
        </w:tc>
        <w:tc>
          <w:tcPr>
            <w:tcW w:type="dxa" w:w="1152"/>
            <w:shd w:val="clear" w:fill="D9E2F3"/>
          </w:tcPr>
          <w:p>
            <w:r/>
            <w:r>
              <w:rPr>
                <w:b/>
                <w:sz w:val="19"/>
              </w:rPr>
              <w:t>OT cost</w:t>
            </w:r>
          </w:p>
        </w:tc>
        <w:tc>
          <w:tcPr>
            <w:tcW w:type="dxa" w:w="792"/>
            <w:shd w:val="clear" w:fill="D9E2F3"/>
          </w:tcPr>
          <w:p>
            <w:r/>
            <w:r>
              <w:rPr>
                <w:b/>
                <w:sz w:val="19"/>
              </w:rPr>
              <w:t>311 days</w:t>
            </w:r>
          </w:p>
        </w:tc>
        <w:tc>
          <w:tcPr>
            <w:tcW w:type="dxa" w:w="864"/>
            <w:shd w:val="clear" w:fill="D9E2F3"/>
          </w:tcPr>
          <w:p>
            <w:r/>
            <w:r>
              <w:rPr>
                <w:b/>
                <w:sz w:val="19"/>
              </w:rPr>
              <w:t>311 rating</w:t>
            </w:r>
          </w:p>
        </w:tc>
        <w:tc>
          <w:tcPr>
            <w:tcW w:type="dxa" w:w="2664"/>
            <w:shd w:val="clear" w:fill="D9E2F3"/>
          </w:tcPr>
          <w:p>
            <w:r/>
            <w:r>
              <w:rPr>
                <w:b/>
                <w:sz w:val="19"/>
              </w:rPr>
              <w:t>Worst on-time process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116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110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5.2%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6.1%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$453,960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12.50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3.55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Tree Removal Request (62.4%)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108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101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6.5%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9.8%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$646,877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9.05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3.64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Illegal Dumping Investigation (54.2%)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134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114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14.9%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8.4%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$642,979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13.62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3.36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Street Resurfacing Project (48.3%)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96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16.7%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7.1%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$525,390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12.00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3.72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Environmental Complaint Investigation (64.1%)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142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137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3.5%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14.6%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$2,085,312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3.82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4.23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Plan Review (New Construction) (59.6%)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CITYWIDE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596</w:t>
            </w:r>
          </w:p>
        </w:tc>
        <w:tc>
          <w:tcPr>
            <w:tcW w:type="dxa" w:w="648"/>
          </w:tcPr>
          <w:p>
            <w:r/>
            <w:r>
              <w:rPr>
                <w:sz w:val="19"/>
              </w:rPr>
              <w:t>542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9.1%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9.6%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$4,354,518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10.79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3.63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Street Resurfacing (48.3%)</w:t>
            </w:r>
          </w:p>
        </w:tc>
      </w:tr>
    </w:tbl>
    <w:p>
      <w:r>
        <w:rPr>
          <w:b w:val="0"/>
          <w:i/>
          <w:sz w:val="18"/>
        </w:rPr>
        <w:t>Table 1. FY2024 scorecard. Flags: Health Services and Transportation exceed the 12% vacancy threshold; Fire exceeds the 10% overtime threshold in all 12 months; every department has at least one process below 65% on-time. This table reproduces the Baseline Metrics tab of the attached workbook (red conditional formatting applied there).</w:t>
      </w:r>
    </w:p>
    <w:p>
      <w:pPr>
        <w:pStyle w:val="Heading2"/>
      </w:pPr>
      <w:r>
        <w:t>1.2 The staffing-service connection</w:t>
      </w:r>
    </w:p>
    <w:p>
      <w:r>
        <w:rPr>
          <w:b w:val="0"/>
          <w:i w:val="0"/>
        </w:rPr>
        <w:t>The cross-reference the Council requested is unambiguous once departments are ranked:</w:t>
      </w:r>
    </w:p>
    <w:p>
      <w:pPr>
        <w:pStyle w:val="ListBullet"/>
        <w:spacing w:after="60"/>
        <w:ind w:left="360"/>
      </w:pPr>
      <w:r>
        <w:t>The two departments with vacancy rates above the 12% trigger - Transportation (14.9%, 20 vacancies) and Health Services (16.7%, 16 vacancies) - are exactly the two slowest departments on citizen-visible work: Transportation resolves 311 requests in an average 13.62 days and Health Services in 12.00 days, versus 3.82 days for fully staffed Fire (3.5% vacancy). Together they hold 36 of the 54 citywide vacancies (67%), spread across all eight of their divisions.</w:t>
      </w:r>
    </w:p>
    <w:p>
      <w:pPr>
        <w:pStyle w:val="ListBullet"/>
        <w:spacing w:after="60"/>
        <w:ind w:left="360"/>
      </w:pPr>
      <w:r>
        <w:t>Turnover compounds the vacancies: Health Services turns over 22.0% of positions annually and Transportation 20.0%, versus 4.3% for Fire - the backfill pipeline itself is failing exactly where vacancies concentrate.</w:t>
      </w:r>
    </w:p>
    <w:p>
      <w:pPr>
        <w:pStyle w:val="ListBullet"/>
        <w:spacing w:after="60"/>
        <w:ind w:left="360"/>
      </w:pPr>
      <w:r>
        <w:t>Overtime is the bridge between vacancies and cost. Departments substitute OT for unfilled positions: Fire ($2.09M, 14.6% of regular hours, above 10% in all 12 months) and Sanitation ($0.65M, 9.8% overall but above 10% in the four winter months December-March, $288K of spike OT). Transportation also spikes above 10% in December-January ($136K). Citywide OT totals $4.35M - 9.6% of regular hours.</w:t>
      </w:r>
    </w:p>
    <w:p>
      <w:pPr>
        <w:pStyle w:val="ListBullet"/>
        <w:spacing w:after="60"/>
        <w:ind w:left="360"/>
      </w:pPr>
      <w:r>
        <w:t>The citizen outcome is measured in the 311 data: of 500 FY2024 service requests, 437 closed with an average 10.79-day resolution and a 3.63/5.0 satisfaction rating; the two slowest departments (Transportation 13.62 days, Parks 12.50 days) draw the two lowest satisfaction ratings (3.36 and 3.55).</w:t>
      </w:r>
    </w:p>
    <w:p>
      <w:pPr>
        <w:pStyle w:val="ListBullet"/>
        <w:spacing w:after="60"/>
        <w:ind w:left="360"/>
      </w:pPr>
      <w:r>
        <w:t>Process-level failures concentrate in the same divisions: 8 of 25 tracked processes miss the 65% on-time standard, led by Transportation Street Resurfacing (48.3% on-time; 45.2-day average cycle against a 30-day target), Sanitation Illegal Dumping (54.2%), and Fire Plan Review (59.6%).</w:t>
      </w:r>
    </w:p>
    <w:p>
      <w:pPr>
        <w:pStyle w:val="Heading2"/>
      </w:pPr>
      <w:r>
        <w:t>1.3 Process inventory: the eight failing SLAs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656"/>
            <w:shd w:val="clear" w:fill="D9E2F3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2736"/>
            <w:shd w:val="clear" w:fill="D9E2F3"/>
          </w:tcPr>
          <w:p>
            <w:r/>
            <w:r>
              <w:rPr>
                <w:b/>
                <w:sz w:val="19"/>
              </w:rPr>
              <w:t>Process (below 65% on-time)</w:t>
            </w:r>
          </w:p>
        </w:tc>
        <w:tc>
          <w:tcPr>
            <w:tcW w:type="dxa" w:w="1224"/>
            <w:shd w:val="clear" w:fill="D9E2F3"/>
          </w:tcPr>
          <w:p>
            <w:r/>
            <w:r>
              <w:rPr>
                <w:b/>
                <w:sz w:val="19"/>
              </w:rPr>
              <w:t>Avg cycle (days)</w:t>
            </w:r>
          </w:p>
        </w:tc>
        <w:tc>
          <w:tcPr>
            <w:tcW w:type="dxa" w:w="1080"/>
            <w:shd w:val="clear" w:fill="D9E2F3"/>
          </w:tcPr>
          <w:p>
            <w:r/>
            <w:r>
              <w:rPr>
                <w:b/>
                <w:sz w:val="19"/>
              </w:rPr>
              <w:t>Target (days)</w:t>
            </w:r>
          </w:p>
        </w:tc>
        <w:tc>
          <w:tcPr>
            <w:tcW w:type="dxa" w:w="1008"/>
            <w:shd w:val="clear" w:fill="D9E2F3"/>
          </w:tcPr>
          <w:p>
            <w:r/>
            <w:r>
              <w:rPr>
                <w:b/>
                <w:sz w:val="19"/>
              </w:rPr>
              <w:t>On-time %</w:t>
            </w:r>
          </w:p>
        </w:tc>
        <w:tc>
          <w:tcPr>
            <w:tcW w:type="dxa" w:w="1008"/>
            <w:shd w:val="clear" w:fill="D9E2F3"/>
          </w:tcPr>
          <w:p>
            <w:r/>
            <w:r>
              <w:rPr>
                <w:b/>
                <w:sz w:val="19"/>
              </w:rPr>
              <w:t>Volume/mo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Street Resurfacing Project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45.2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48.3%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Illegal Dumping Investigation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14.7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54.2%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38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Transit Route Change Request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22.5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55.1%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Bulk Pickup Request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5.8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58.1%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310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Plan Review (New Construction)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14.8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59.6%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24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Sidewalk Repair Request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28.4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61.7%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34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Tree Removal Request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18.6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62.4%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28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Environmental Complaint Investigation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9.8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64.1%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52</w:t>
            </w:r>
          </w:p>
        </w:tc>
      </w:tr>
    </w:tbl>
    <w:p>
      <w:r>
        <w:rPr>
          <w:b w:val="0"/>
          <w:i/>
          <w:sz w:val="18"/>
        </w:rPr>
        <w:t>Table 2. All eight processes below the 65% on-time standard. Any restructuring proposal must be judged on whether it moves these eight numbers.</w:t>
      </w:r>
    </w:p>
    <w:p>
      <w:pPr>
        <w:pStyle w:val="Heading1"/>
      </w:pPr>
      <w:r>
        <w:t>2. Benchmark Analysis: New York City Analog Agencies</w:t>
      </w:r>
    </w:p>
    <w:p>
      <w:r>
        <w:rPr>
          <w:b w:val="0"/>
          <w:i w:val="0"/>
        </w:rPr>
        <w:t>Greenfield's five departments map to NYC analogs (Fire-&gt;FDNY, Health Services-&gt;DOHMH, Parks-&gt;DPR, Sanitation-&gt;DSNY, Transportation-&gt;DOT). Two reference sources frame the comparison: the New York State Comptroller's '2024 Update on New York City Staffing Trends' (Report 2-2025, May 2024) and the NYC Mayor's Management Report indicator dataset (NYC Open Data rbed-zzin, pinned snapshot), supplemented by the selected-agency expense budget file.</w:t>
      </w:r>
    </w:p>
    <w:p>
      <w:pPr>
        <w:pStyle w:val="Heading2"/>
      </w:pPr>
      <w:r>
        <w:t>2.1 NYC staffing trends (NYS Comptroller Report 2-2025)</w:t>
      </w:r>
    </w:p>
    <w:p>
      <w:pPr>
        <w:pStyle w:val="ListBullet"/>
        <w:spacing w:after="60"/>
        <w:ind w:left="360"/>
      </w:pPr>
      <w:r>
        <w:t>Citywide staffing recovered to 284,330 positions by January 2024 (+2,413 in FY2024), but the vacancy rate stood at 5.1% - versus 2.0% pre-pandemic and a Dec 2022 peak of 8.4%. Excluding DOE and CUNY, vacancies ran 4.6%.</w:t>
      </w:r>
    </w:p>
    <w:p>
      <w:pPr>
        <w:pStyle w:val="ListBullet"/>
        <w:spacing w:after="60"/>
        <w:ind w:left="360"/>
      </w:pPr>
      <w:r>
        <w:t>Vacancies concentrate in exactly the program areas that mirror Greenfield's problem departments: Environmental Protection 11.5%, Transportation Services 10.0%, Health 9.3% - while uniformed services ran only 2.5%. By agency: DOT 10.0% (historical norm 8.6%), DOHMH 9.3% (11.3%), DPR 1.7% (4.5%), DSNY ~0%, FDNY uniformed 1.4%.</w:t>
      </w:r>
    </w:p>
    <w:p>
      <w:pPr>
        <w:pStyle w:val="ListBullet"/>
        <w:spacing w:after="60"/>
        <w:ind w:left="360"/>
      </w:pPr>
      <w:r>
        <w:t>Overtime grew 62.9% ($1.11B in FY2021 to $1.81B, July-March FY2024); OT as a share of payroll rose from 7.0% to 10.8%. FDNY's Fire Extinguishment &amp; Emergency Response program OT share reached 40.3% ($323.4M) from 28.9% - the same 'overtime as substitute for headcount' pattern Greenfield sees in its Fire Department.</w:t>
      </w:r>
    </w:p>
    <w:p>
      <w:pPr>
        <w:pStyle w:val="ListBullet"/>
        <w:spacing w:after="60"/>
        <w:ind w:left="360"/>
      </w:pPr>
      <w:r>
        <w:t>FDNY attrition ran 52% above pre-pandemic levels, mirroring Greenfield Health's 22% turnover.</w:t>
      </w:r>
    </w:p>
    <w:p>
      <w:pPr>
        <w:pStyle w:val="ListBullet"/>
        <w:spacing w:after="60"/>
        <w:ind w:left="360"/>
      </w:pPr>
      <w:r>
        <w:t>The recovery lever was hiring-process speed: DCAS cut civil-service exam turnaround from 318 to 219 days (-31%, and 169 days through FY2024) while exam applications rose 58% (75,489 to 119,599). NYC's own recovery lesson is that vacancy-driven overtime is attacked through centralized, faster hiring - the mechanism Proposal B adopts.</w:t>
      </w:r>
    </w:p>
    <w:p>
      <w:pPr>
        <w:pStyle w:val="Heading2"/>
      </w:pPr>
      <w:r>
        <w:t>2.2 MMR service indicators for the analog agencies</w:t>
      </w:r>
    </w:p>
    <w:p>
      <w:r>
        <w:rPr>
          <w:b w:val="0"/>
          <w:i w:val="0"/>
        </w:rPr>
        <w:t>Selected latest-year MMR indicators from the pinned snapshot (dataset rbed-zzin):</w:t>
      </w:r>
    </w:p>
    <w:p>
      <w:pPr>
        <w:pStyle w:val="ListBullet"/>
        <w:spacing w:after="60"/>
        <w:ind w:left="360"/>
      </w:pPr>
      <w:r>
        <w:t>DOT pothole repair: 100% of complaints met the time-to-close standard against a 98% target - service recovery in the transportation analog followed staffing restoration (10% vacancy), supporting the case that hiring (Proposal B), not merger, drives SLA recovery.</w:t>
      </w:r>
    </w:p>
    <w:p>
      <w:pPr>
        <w:pStyle w:val="ListBullet"/>
        <w:spacing w:after="60"/>
        <w:ind w:left="360"/>
      </w:pPr>
      <w:r>
        <w:t>DOHMH: birth certificate responses 2.6 days against a 3.0-day target (met); food establishment inspections 90% on-time against a 90% target (met at threshold) - the health analog holds its SLAs where vacancy sits at the citywide average (9.3%), underscoring that Greenfield Health's 16.7% vacancy is the outlier to fix.</w:t>
      </w:r>
    </w:p>
    <w:p>
      <w:pPr>
        <w:pStyle w:val="ListBullet"/>
        <w:spacing w:after="60"/>
        <w:ind w:left="360"/>
      </w:pPr>
      <w:r>
        <w:t>FDNY: structural fire response 4:37 against a 4:14 target (missed) and EMS 9:32 against 6:55 (missed) - the analog carrying the highest OT share (40.3% in its emergency-response program) is missing response-time targets: a direct caution for Greenfield's Fire OT trajectory.</w:t>
      </w:r>
    </w:p>
    <w:p>
      <w:pPr>
        <w:pStyle w:val="ListBullet"/>
        <w:spacing w:after="60"/>
        <w:ind w:left="360"/>
      </w:pPr>
      <w:r>
        <w:t>DSNY and DPR indicators in the snapshot (recycling cost per ton, recreation memberships) show stable operations where vacancy is lowest - consistent with Greenfield's own Sanitation (6.5%) and Parks (5.2%) baseline.</w:t>
      </w:r>
    </w:p>
    <w:p>
      <w:pPr>
        <w:pStyle w:val="Heading2"/>
      </w:pPr>
      <w:r>
        <w:t>2.3 Budget capacity comparison (GF budget vs NYC per-employee)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12"/>
            <w:shd w:val="clear" w:fill="D9E2F3"/>
          </w:tcPr>
          <w:p>
            <w:r/>
            <w:r>
              <w:rPr>
                <w:b/>
                <w:sz w:val="19"/>
              </w:rPr>
              <w:t>Greenfield dept</w:t>
            </w:r>
          </w:p>
        </w:tc>
        <w:tc>
          <w:tcPr>
            <w:tcW w:type="dxa" w:w="1080"/>
            <w:shd w:val="clear" w:fill="D9E2F3"/>
          </w:tcPr>
          <w:p>
            <w:r/>
            <w:r>
              <w:rPr>
                <w:b/>
                <w:sz w:val="19"/>
              </w:rPr>
              <w:t>NYC analog</w:t>
            </w:r>
          </w:p>
        </w:tc>
        <w:tc>
          <w:tcPr>
            <w:tcW w:type="dxa" w:w="1512"/>
            <w:shd w:val="clear" w:fill="D9E2F3"/>
          </w:tcPr>
          <w:p>
            <w:r/>
            <w:r>
              <w:rPr>
                <w:b/>
                <w:sz w:val="19"/>
              </w:rPr>
              <w:t>GF budget per filled employee</w:t>
            </w:r>
          </w:p>
        </w:tc>
        <w:tc>
          <w:tcPr>
            <w:tcW w:type="dxa" w:w="1080"/>
            <w:shd w:val="clear" w:fill="D9E2F3"/>
          </w:tcPr>
          <w:p>
            <w:r/>
            <w:r>
              <w:rPr>
                <w:b/>
                <w:sz w:val="19"/>
              </w:rPr>
              <w:t>NYC agency</w:t>
            </w:r>
          </w:p>
        </w:tc>
        <w:tc>
          <w:tcPr>
            <w:tcW w:type="dxa" w:w="2736"/>
            <w:shd w:val="clear" w:fill="D9E2F3"/>
          </w:tcPr>
          <w:p>
            <w:r/>
            <w:r>
              <w:rPr>
                <w:b/>
                <w:sz w:val="19"/>
              </w:rPr>
              <w:t>NYC budget per employee (FY2024 adopted / Jan-2024 headcount)</w:t>
            </w:r>
          </w:p>
        </w:tc>
        <w:tc>
          <w:tcPr>
            <w:tcW w:type="dxa" w:w="1008"/>
            <w:shd w:val="clear" w:fill="D9E2F3"/>
          </w:tcPr>
          <w:p>
            <w:r/>
            <w:r>
              <w:rPr>
                <w:b/>
                <w:sz w:val="19"/>
              </w:rPr>
              <w:t>GF/NYC ratio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DPR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$46,977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DPR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$427,144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0.11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DSNY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$48,881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DSNY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$555,490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0.09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DOT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$54,288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DOT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$843,365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0.06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DOHMH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$67,006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DOHMH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$1,279,832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0.05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FDNY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$80,954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FDNY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$404,261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0.20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CITYWIDE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5 depts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$60,414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5 agencies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0.10</w:t>
            </w:r>
          </w:p>
        </w:tc>
      </w:tr>
    </w:tbl>
    <w:p>
      <w:r>
        <w:rPr>
          <w:b w:val="0"/>
          <w:i/>
          <w:sz w:val="18"/>
        </w:rPr>
        <w:t>Table 3. Greenfield operates at 5-20% of NYC analog per-employee budget levels (citywide ~10%). Greenfield cannot benchmark spending levels against NYC; the meaningful transfers are the OSC structural findings (vacancy/OT/attrition dynamics) and the MMR SLA standards - not dollar magnitudes.</w:t>
      </w:r>
    </w:p>
    <w:p>
      <w:r>
        <w:rPr>
          <w:b w:val="0"/>
          <w:i w:val="0"/>
        </w:rPr>
        <w:t>Implication for the Council: NYC's record isolates the two mechanisms that worked - faster centralized hiring (DCAS -31% turnaround) and OT containment where vacancies close - and shows that structural consolidation was not part of the NYC recovery playbook. This directly informs the proposal evaluation below.</w:t>
      </w:r>
    </w:p>
    <w:p>
      <w:pPr>
        <w:pStyle w:val="Heading1"/>
      </w:pPr>
      <w:r>
        <w:t>3. Proposal A - Consolidation (Departmental Mergers)</w:t>
      </w:r>
    </w:p>
    <w:p>
      <w:r>
        <w:rPr>
          <w:b w:val="0"/>
          <w:i w:val="0"/>
        </w:rPr>
        <w:t>Proposal A merges Health Services and Parks &amp; Recreation into a 'Community Wellness' department (212 authorized / 190 filled) and Transportation and Sanitation into 'Public Works' (242 / 215), with Fire left standalone (142 / 137).</w:t>
      </w:r>
    </w:p>
    <w:p>
      <w:pPr>
        <w:pStyle w:val="Heading2"/>
      </w:pPr>
      <w:r>
        <w:t>3.1 Modeled impacts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val="clear" w:fill="D9E2F3"/>
          </w:tcPr>
          <w:p>
            <w:r/>
            <w:r>
              <w:rPr>
                <w:b/>
                <w:sz w:val="19"/>
              </w:rPr>
              <w:t>Mechanism</w:t>
            </w:r>
          </w:p>
        </w:tc>
        <w:tc>
          <w:tcPr>
            <w:tcW w:type="dxa" w:w="4104"/>
            <w:shd w:val="clear" w:fill="D9E2F3"/>
          </w:tcPr>
          <w:p>
            <w:r/>
            <w:r>
              <w:rPr>
                <w:b/>
                <w:sz w:val="19"/>
              </w:rPr>
              <w:t>Assumption</w:t>
            </w:r>
          </w:p>
        </w:tc>
        <w:tc>
          <w:tcPr>
            <w:tcW w:type="dxa" w:w="1656"/>
            <w:shd w:val="clear" w:fill="D9E2F3"/>
          </w:tcPr>
          <w:p>
            <w:r/>
            <w:r>
              <w:rPr>
                <w:b/>
                <w:sz w:val="19"/>
              </w:rPr>
              <w:t>Year 1</w:t>
            </w:r>
          </w:p>
        </w:tc>
        <w:tc>
          <w:tcPr>
            <w:tcW w:type="dxa" w:w="1800"/>
            <w:shd w:val="clear" w:fill="D9E2F3"/>
          </w:tcPr>
          <w:p>
            <w:r/>
            <w:r>
              <w:rPr>
                <w:b/>
                <w:sz w:val="19"/>
              </w:rPr>
              <w:t>Steady state</w:t>
            </w:r>
          </w:p>
        </w:tc>
      </w:tr>
      <w:tr>
        <w:tc>
          <w:tcPr>
            <w:tcW w:type="dxa" w:w="2088"/>
          </w:tcPr>
          <w:p>
            <w:r/>
            <w:r>
              <w:rPr>
                <w:sz w:val="19"/>
              </w:rPr>
              <w:t>Administrative deduplication</w:t>
            </w:r>
          </w:p>
        </w:tc>
        <w:tc>
          <w:tcPr>
            <w:tcW w:type="dxa" w:w="4104"/>
          </w:tcPr>
          <w:p>
            <w:r/>
            <w:r>
              <w:rPr>
                <w:sz w:val="19"/>
              </w:rPr>
              <w:t>10 positions eliminated through attrition (1.9% of 542 filled): 4 in Community Wellness, 6 in Public Works; loaded cost $64.8K each (avg salary $48.0K x 1.35)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$324K Y1 (50% phase-in)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$648K/yr steady</w:t>
            </w:r>
          </w:p>
        </w:tc>
      </w:tr>
      <w:tr>
        <w:tc>
          <w:tcPr>
            <w:tcW w:type="dxa" w:w="2088"/>
          </w:tcPr>
          <w:p>
            <w:r/>
            <w:r>
              <w:rPr>
                <w:sz w:val="19"/>
              </w:rPr>
              <w:t>OT reduction from shared crews/fleet</w:t>
            </w:r>
          </w:p>
        </w:tc>
        <w:tc>
          <w:tcPr>
            <w:tcW w:type="dxa" w:w="4104"/>
          </w:tcPr>
          <w:p>
            <w:r/>
            <w:r>
              <w:rPr>
                <w:sz w:val="19"/>
              </w:rPr>
              <w:t>Public Works -10% of combined OT; Parks -8%; Health -3% (dispatch and fleet coordination)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$181,064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$181,064/yr</w:t>
            </w:r>
          </w:p>
        </w:tc>
      </w:tr>
      <w:tr>
        <w:tc>
          <w:tcPr>
            <w:tcW w:type="dxa" w:w="2088"/>
          </w:tcPr>
          <w:p>
            <w:r/>
            <w:r>
              <w:rPr>
                <w:sz w:val="19"/>
              </w:rPr>
              <w:t>One-time implementation</w:t>
            </w:r>
          </w:p>
        </w:tc>
        <w:tc>
          <w:tcPr>
            <w:tcW w:type="dxa" w:w="4104"/>
          </w:tcPr>
          <w:p>
            <w:r/>
            <w:r>
              <w:rPr>
                <w:sz w:val="19"/>
              </w:rPr>
              <w:t>HR/IT/payroll realignment, MOU negotiation, facilities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-$250K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088"/>
          </w:tcPr>
          <w:p>
            <w:r/>
            <w:r>
              <w:rPr>
                <w:sz w:val="19"/>
              </w:rPr>
              <w:t>Net impact</w:t>
            </w:r>
          </w:p>
        </w:tc>
        <w:tc>
          <w:tcPr>
            <w:tcW w:type="dxa" w:w="41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$505,064 saved Y1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$829,064/yr saved steady</w:t>
            </w:r>
          </w:p>
        </w:tc>
      </w:tr>
    </w:tbl>
    <w:p>
      <w:r>
        <w:rPr>
          <w:b w:val="0"/>
          <w:i/>
          <w:sz w:val="18"/>
        </w:rPr>
        <w:t>Table 4. Proposal A cost-benefit (workbook: Proposal A Model tab).</w:t>
      </w:r>
    </w:p>
    <w:p>
      <w:pPr>
        <w:pStyle w:val="Heading2"/>
      </w:pPr>
      <w:r>
        <w:t>3.2 Evaluation</w:t>
      </w:r>
    </w:p>
    <w:p>
      <w:pPr>
        <w:pStyle w:val="ListBullet"/>
        <w:spacing w:after="60"/>
        <w:ind w:left="360"/>
      </w:pPr>
      <w:r>
        <w:t>Process bottlenecks: A's mechanism (merger-driven coordination) lifts on-time performance by a modeled 4 points on six field processes and cuts cycle times 6%. That moves the failing-process count from 8 to 5 - Street Resurfacing (52.3%), Illegal Dumping (58.2%), Transit Route Change (55.1%, unchanged - not a field-crew process), Bulk Pickup (62.1%), and Fire Plan Review (59.6%, unchanged) remain below 65%. The worst SLA improves least because its binding constraint is headcount and capital, not org chart.</w:t>
      </w:r>
    </w:p>
    <w:p>
      <w:pPr>
        <w:pStyle w:val="ListBullet"/>
        <w:spacing w:after="60"/>
        <w:ind w:left="360"/>
      </w:pPr>
      <w:r>
        <w:t>Overtime: A trims OT only where coordination helps (10%/8%/3% slices = $181K), leaving Fire's $2.09M (14.6%) untouched - the single largest OT line in the city - and leaving Sanitation's winter spike mechanism in place.</w:t>
      </w:r>
    </w:p>
    <w:p>
      <w:pPr>
        <w:pStyle w:val="ListBullet"/>
        <w:spacing w:after="60"/>
        <w:ind w:left="360"/>
      </w:pPr>
      <w:r>
        <w:t>Service delivery risk: vacancies are NOT filled under A (assumption A5). Health and Transportation remain above the 12% trigger at 16.7% and 14.9%; citywide 311 resolution improves only from 10.79 to a modeled 10.3 days.</w:t>
      </w:r>
    </w:p>
    <w:p>
      <w:pPr>
        <w:pStyle w:val="ListBullet"/>
        <w:spacing w:after="60"/>
        <w:ind w:left="360"/>
      </w:pPr>
      <w:r>
        <w:t>Workforce feasibility: a merger requires MOU negotiation across four bargaining units, payroll/title realignment, and facility consolidation - the sources of the $250K one-time cost and the 4/5 complexity and risk ratings. Deduplication depends entirely on attrition timing (18-month assumption), a schedule risk outside the City's control.</w:t>
      </w:r>
    </w:p>
    <w:p>
      <w:pPr>
        <w:pStyle w:val="ListBullet"/>
        <w:spacing w:after="60"/>
        <w:ind w:left="360"/>
      </w:pPr>
      <w:r>
        <w:t>Fiscal strength: A is the only option producing genuine steady-state savings ($829K/yr) because it removes positions from the table - but it removes just 1.9% of filled positions while leaving both structural drivers (36 trigger vacancies, Fire OT) in place.</w:t>
      </w:r>
    </w:p>
    <w:p>
      <w:pPr>
        <w:pStyle w:val="Heading1"/>
      </w:pPr>
      <w:r>
        <w:t>4. Proposal B - Targeted Fix (Pools, OT Caps, Centralized Hiring)</w:t>
      </w:r>
    </w:p>
    <w:p>
      <w:r>
        <w:rPr>
          <w:b w:val="0"/>
          <w:i w:val="0"/>
        </w:rPr>
        <w:t>Proposal B keeps all five departments and attacks the two measured failure mechanisms directly: (1) centralized hiring for the 8 divisions with vacancy above 12%, and (2) shared OT budgets/caps for departments above the 10% OT threshold, plus cross-training pools where seasonal spikes drive OT.</w:t>
      </w:r>
    </w:p>
    <w:p>
      <w:pPr>
        <w:pStyle w:val="Heading2"/>
      </w:pPr>
      <w:r>
        <w:t>4.1 Trigger identification (which divisions/departments activate each intervention)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12"/>
            <w:shd w:val="clear" w:fill="D9E2F3"/>
          </w:tcPr>
          <w:p>
            <w:r/>
            <w:r>
              <w:rPr>
                <w:b/>
                <w:sz w:val="19"/>
              </w:rPr>
              <w:t>Intervention</w:t>
            </w:r>
          </w:p>
        </w:tc>
        <w:tc>
          <w:tcPr>
            <w:tcW w:type="dxa" w:w="1584"/>
            <w:shd w:val="clear" w:fill="D9E2F3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2664"/>
            <w:shd w:val="clear" w:fill="D9E2F3"/>
          </w:tcPr>
          <w:p>
            <w:r/>
            <w:r>
              <w:rPr>
                <w:b/>
                <w:sz w:val="19"/>
              </w:rPr>
              <w:t>Division (vacancy &gt; 12%)</w:t>
            </w:r>
          </w:p>
        </w:tc>
        <w:tc>
          <w:tcPr>
            <w:tcW w:type="dxa" w:w="720"/>
            <w:shd w:val="clear" w:fill="D9E2F3"/>
          </w:tcPr>
          <w:p>
            <w:r/>
            <w:r>
              <w:rPr>
                <w:b/>
                <w:sz w:val="19"/>
              </w:rPr>
              <w:t>Auth.</w:t>
            </w:r>
          </w:p>
        </w:tc>
        <w:tc>
          <w:tcPr>
            <w:tcW w:type="dxa" w:w="720"/>
            <w:shd w:val="clear" w:fill="D9E2F3"/>
          </w:tcPr>
          <w:p>
            <w:r/>
            <w:r>
              <w:rPr>
                <w:b/>
                <w:sz w:val="19"/>
              </w:rPr>
              <w:t>Filled</w:t>
            </w:r>
          </w:p>
        </w:tc>
        <w:tc>
          <w:tcPr>
            <w:tcW w:type="dxa" w:w="576"/>
            <w:shd w:val="clear" w:fill="D9E2F3"/>
          </w:tcPr>
          <w:p>
            <w:r/>
            <w:r>
              <w:rPr>
                <w:b/>
                <w:sz w:val="19"/>
              </w:rPr>
              <w:t>Vac.</w:t>
            </w:r>
          </w:p>
        </w:tc>
        <w:tc>
          <w:tcPr>
            <w:tcW w:type="dxa" w:w="936"/>
            <w:shd w:val="clear" w:fill="D9E2F3"/>
          </w:tcPr>
          <w:p>
            <w:r/>
            <w:r>
              <w:rPr>
                <w:b/>
                <w:sz w:val="19"/>
              </w:rPr>
              <w:t>Vacancy 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Road Maintenance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14.8%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Traffic Engineering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15.4%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Public Transit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15.8%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Planning &amp; Design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12.5%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Clinical Services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18.2%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Environmental Health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13.6%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Community Outreach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16.7%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9"/>
              </w:rPr>
              <w:t>Centralized hiring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Epidemiology &amp; Data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16.7%</w:t>
            </w:r>
          </w:p>
        </w:tc>
      </w:tr>
    </w:tbl>
    <w:p>
      <w:r>
        <w:rPr>
          <w:b w:val="0"/>
          <w:i/>
          <w:sz w:val="18"/>
        </w:rPr>
        <w:t>Table 5a. Centralized-hiring trigger: all 8 divisions above the 12% vacancy threshold sit in Transportation and Health Services - 230 authorized / 194 filled / 36 vacancies. Proposal B targets 24 of the 36 vacancies in Year 1 (new payroll $1,748,596 at the $53,969 average trigger-division salary x 1.35 load).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</w:rPr>
              <w:t>Intervention</w:t>
            </w:r>
          </w:p>
        </w:tc>
        <w:tc>
          <w:tcPr>
            <w:tcW w:type="dxa" w:w="1512"/>
            <w:shd w:val="clear" w:fill="D9E2F3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3168"/>
            <w:shd w:val="clear" w:fill="D9E2F3"/>
          </w:tcPr>
          <w:p>
            <w:r/>
            <w:r>
              <w:rPr>
                <w:b/>
                <w:sz w:val="19"/>
              </w:rPr>
              <w:t>Trigger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  <w:sz w:val="19"/>
              </w:rPr>
              <w:t>Scale / 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OT cap / shared OT budget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OT at 14.6% of regular hours, above 10% in all 12 months ($2,085,312)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Cap at 12.0% of regular hours Y1 (saves $367,334); tighten to 10.5% Y2 (saves $582,082)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Cross-training pool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4 spike months (Dec-Mar) above 10% OT; $288,021 of spike OT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12-FTE winter pool; -15% of spike OT ($43,203)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Cross-training pool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 spike months (Dec-Jan) above 10% OT; $136,498 of spike OT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10-FTE pool; -15% of spike OT ($20,475)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Cross-training pool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Seasonal peaks (mowing, events)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8-FTE pool; absorbs peak demand</w:t>
            </w:r>
          </w:p>
        </w:tc>
      </w:tr>
    </w:tbl>
    <w:p>
      <w:r>
        <w:rPr>
          <w:b w:val="0"/>
          <w:i/>
          <w:sz w:val="18"/>
        </w:rPr>
        <w:t>Table 5b. OT-cap and cross-training triggers. Pool total: 30 cross-trained FTE, one-time training cost $45K.</w:t>
      </w:r>
    </w:p>
    <w:p>
      <w:pPr>
        <w:pStyle w:val="Heading2"/>
      </w:pPr>
      <w:r>
        <w:t>4.2 Modeled impacts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72"/>
            <w:shd w:val="clear" w:fill="D9E2F3"/>
          </w:tcPr>
          <w:p>
            <w:r/>
            <w:r>
              <w:rPr>
                <w:b/>
                <w:sz w:val="19"/>
              </w:rPr>
              <w:t>Mechanism</w:t>
            </w:r>
          </w:p>
        </w:tc>
        <w:tc>
          <w:tcPr>
            <w:tcW w:type="dxa" w:w="3384"/>
            <w:shd w:val="clear" w:fill="D9E2F3"/>
          </w:tcPr>
          <w:p>
            <w:r/>
            <w:r>
              <w:rPr>
                <w:b/>
                <w:sz w:val="19"/>
              </w:rPr>
              <w:t>Quantification</w:t>
            </w:r>
          </w:p>
        </w:tc>
        <w:tc>
          <w:tcPr>
            <w:tcW w:type="dxa" w:w="2592"/>
            <w:shd w:val="clear" w:fill="D9E2F3"/>
          </w:tcPr>
          <w:p>
            <w:r/>
            <w:r>
              <w:rPr>
                <w:b/>
                <w:sz w:val="19"/>
              </w:rPr>
              <w:t>Annual impact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Centralized hiring: 24 of 36 trigger-division vacancies filled in Y1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$1,748,596 new payroll (vs $1.94M vacancy salary authority already budgeted)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-$1,748,596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Fire OT cap 12% (Y1)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OT hours capped below current run-rate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+$367,334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Fire OT cap 10.5% (Y2)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Steady-state cap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+$582,082 (Y2)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Sanitation winter pool + Transportation pool + Health hiring relief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$43,203 + $20,475 + $52,539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+$116,217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Transportation hiring relief (-15% of OT where hires land)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OT substitution declines as vacancies fill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+$96,447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Total OT savings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Y1 $579,998; Y2 $794,745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+$579,998</w:t>
            </w:r>
          </w:p>
        </w:tc>
      </w:tr>
      <w:tr>
        <w:tc>
          <w:tcPr>
            <w:tcW w:type="dxa" w:w="3672"/>
          </w:tcPr>
          <w:p>
            <w:r/>
            <w:r>
              <w:rPr>
                <w:sz w:val="19"/>
              </w:rPr>
              <w:t>Net impact (vs FY2024)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New payroll less OT savings (turnover relief $121.5K adds in Y2)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-$1,168,597 Y1 / -$832,350 Y2 steady</w:t>
            </w:r>
          </w:p>
        </w:tc>
      </w:tr>
    </w:tbl>
    <w:p>
      <w:r>
        <w:rPr>
          <w:b w:val="0"/>
          <w:i/>
          <w:sz w:val="18"/>
        </w:rPr>
        <w:t>Table 6. Proposal B cost-benefit (workbook: Proposal B Model tab). New payroll for 24 hires is $1.75M against $1.94M of vacancy salary authority that exists today for unfilled positions: the net steady-state cost of $832K is the incremental amount above currently budgeted authority. No new appropriation is required - all hiring stays within the 596-position authorized envelope.</w:t>
      </w:r>
    </w:p>
    <w:p>
      <w:pPr>
        <w:pStyle w:val="Heading2"/>
      </w:pPr>
      <w:r>
        <w:t>4.3 Projected on-time recovery on the eight failing processes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3456"/>
            <w:shd w:val="clear" w:fill="D9E2F3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</w:rPr>
              <w:t>FY2024 on-time</w:t>
            </w:r>
          </w:p>
        </w:tc>
        <w:tc>
          <w:tcPr>
            <w:tcW w:type="dxa" w:w="2016"/>
            <w:shd w:val="clear" w:fill="D9E2F3"/>
          </w:tcPr>
          <w:p>
            <w:r/>
            <w:r>
              <w:rPr>
                <w:b/>
                <w:sz w:val="19"/>
              </w:rPr>
              <w:t>Projected after 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Street Resurfacing Project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48.3%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55.0%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Illegal Dumping Investigation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54.2%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66.0%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Transit Route Change 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55.1%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63.0%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Bulk Pickup 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58.1%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67.0%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Plan Review (New Construction)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59.6%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63.0%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Sidewalk Repair 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61.7%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67.0%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Tree Removal 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62.4%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66.0%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Environmental Complaint Investigation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64.1%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69.0%</w:t>
            </w:r>
          </w:p>
        </w:tc>
      </w:tr>
    </w:tbl>
    <w:p>
      <w:r>
        <w:rPr>
          <w:b w:val="0"/>
          <w:i/>
          <w:sz w:val="18"/>
        </w:rPr>
        <w:t>Table 7. Five of eight failing processes return above 65% under B (Bulk Pickup, Illegal Dumping, Tree Removal, Sidewalk Repair, Environmental Complaint). Three remain below and require either capital or process redesign: Street Resurfacing (55.0%, capital-driven), Transit Route Change (63.0%), and Fire Plan Review (63.0%).</w:t>
      </w:r>
    </w:p>
    <w:p>
      <w:pPr>
        <w:pStyle w:val="Heading2"/>
      </w:pPr>
      <w:r>
        <w:t>4.4 Evaluation</w:t>
      </w:r>
    </w:p>
    <w:p>
      <w:pPr>
        <w:pStyle w:val="ListBullet"/>
        <w:spacing w:after="60"/>
        <w:ind w:left="360"/>
      </w:pPr>
      <w:r>
        <w:t>Bottlenecks: B is the only proposal that changes the binding constraint on the worst processes - it fills vacancies in exactly the divisions that own the failing SLAs. Failing processes fall from 8 to 3.</w:t>
      </w:r>
    </w:p>
    <w:p>
      <w:pPr>
        <w:pStyle w:val="ListBullet"/>
        <w:spacing w:after="60"/>
        <w:ind w:left="360"/>
      </w:pPr>
      <w:r>
        <w:t>Overtime: B directly restructures both flagged OT patterns - Fire's cap (14.6% -&gt; 10.5% by Y2) and Sanitation's winter pool - converting unbudgeted OT into budgeted regular time. Citywide OT hours fall by roughly 16,600 at steady state.</w:t>
      </w:r>
    </w:p>
    <w:p>
      <w:pPr>
        <w:pStyle w:val="ListBullet"/>
        <w:spacing w:after="60"/>
        <w:ind w:left="360"/>
      </w:pPr>
      <w:r>
        <w:t>Service delivery risk: the lowest of the three options (2/5). Risk concentrates in recruitment feasibility - Greenfield must compete for the same labor as the private sector - mitigated by the NYC evidence that centralized hiring compressed time-to-fill by 31% while applications rose 58% once the pipeline was fixed.</w:t>
      </w:r>
    </w:p>
    <w:p>
      <w:pPr>
        <w:pStyle w:val="ListBullet"/>
        <w:spacing w:after="60"/>
        <w:ind w:left="360"/>
      </w:pPr>
      <w:r>
        <w:t>Workforce feasibility: high (2/5 complexity). No mergers and no MOU restructuring; the heaviest lift is cross-training (30 FTE, $45K one-time). Health turnover relief (22% -&gt; 19%) adds $121.5K of avoided replacement cost in Y2.</w:t>
      </w:r>
    </w:p>
    <w:p>
      <w:pPr>
        <w:pStyle w:val="ListBullet"/>
        <w:spacing w:after="60"/>
        <w:ind w:left="360"/>
      </w:pPr>
      <w:r>
        <w:t>Fiscal profile: this is an investment, not a savings plan - $832K/yr net steady cost - but it is spent inside authorized positions rather than creating new ones, and it retires the vacancy-driven overtime the City currently pays at premium rates.</w:t>
      </w:r>
    </w:p>
    <w:p>
      <w:pPr>
        <w:pStyle w:val="Heading1"/>
      </w:pPr>
      <w:r>
        <w:t>5. Side-by-Side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fill="D9E2F3"/>
          </w:tcPr>
          <w:p>
            <w:r/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1944"/>
            <w:shd w:val="clear" w:fill="D9E2F3"/>
          </w:tcPr>
          <w:p>
            <w:r/>
            <w:r>
              <w:rPr>
                <w:b/>
                <w:sz w:val="19"/>
              </w:rPr>
              <w:t>Proposal A</w:t>
            </w:r>
          </w:p>
        </w:tc>
        <w:tc>
          <w:tcPr>
            <w:tcW w:type="dxa" w:w="1944"/>
            <w:shd w:val="clear" w:fill="D9E2F3"/>
          </w:tcPr>
          <w:p>
            <w:r/>
            <w:r>
              <w:rPr>
                <w:b/>
                <w:sz w:val="19"/>
              </w:rPr>
              <w:t>Proposal B</w:t>
            </w:r>
          </w:p>
        </w:tc>
        <w:tc>
          <w:tcPr>
            <w:tcW w:type="dxa" w:w="2016"/>
            <w:shd w:val="clear" w:fill="D9E2F3"/>
          </w:tcPr>
          <w:p>
            <w:r/>
            <w:r>
              <w:rPr>
                <w:b/>
                <w:sz w:val="19"/>
              </w:rPr>
              <w:t>Hybrid (recommended)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Annual net budget impact vs FY2024 ($K, steady)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829.0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-832.0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-379.0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FTE reallocation count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Processes below 65% on-time: before -&gt; after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8 -&gt; 5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8 -&gt; 3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8 -&gt;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Avg on-time gain (targeted processes, pts)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6.6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7.2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Implementation complexity (1 low - 5 high)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Risk rating (1 low - 5 high)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Net recommendation score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2.9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3.3</w:t>
            </w:r>
          </w:p>
        </w:tc>
      </w:tr>
    </w:tbl>
    <w:p>
      <w:r>
        <w:rPr>
          <w:b w:val="0"/>
          <w:i/>
          <w:sz w:val="18"/>
        </w:rPr>
        <w:t>Table 8. Comparison on the five Council-specified dimensions plus the weighted net score (savings 30%, SLA 25%, complexity 20% inverted, risk 15% inverted, FTE reallocation 10%). The Hybrid combines Proposal B's interventions with an 'A-lite' shared-services compact in Public Works: 6 administrative positions deduplicated via attrition ($388.8K) and coordinated fleet/dispatch/winter operations (5% of combined Public Works OT, $64.5K) - without a statutory merger. Under the compact, Transit Route Change crosses the 65% standard (63.0 + 4 pts of dispatch coordination), leaving Street Resurfacing and Fire Plan Review below 65% and flagged for FY2026 follow-up. The Health-Parks merger is deferred to FY2027.</w:t>
      </w:r>
    </w:p>
    <w:p>
      <w:pPr>
        <w:pStyle w:val="Heading1"/>
      </w:pPr>
      <w:r>
        <w:t>6. Recommendation</w:t>
      </w:r>
    </w:p>
    <w:p>
      <w:r>
        <w:rPr>
          <w:b/>
          <w:i w:val="0"/>
        </w:rPr>
        <w:t>Adopt the Hybrid: implement Proposal B immediately (FY2025) and execute the A-lite Public Works shared-services compact; defer the full Health-Parks merger to the FY2027 budget review.</w:t>
      </w:r>
    </w:p>
    <w:p>
      <w:r>
        <w:rPr>
          <w:b w:val="0"/>
          <w:i w:val="0"/>
        </w:rPr>
        <w:t>The quantitative case, in four points:</w:t>
      </w:r>
    </w:p>
    <w:p>
      <w:pPr>
        <w:pStyle w:val="ListBullet"/>
        <w:spacing w:after="60"/>
        <w:ind w:left="360"/>
      </w:pPr>
      <w:r>
        <w:t>(1) Root cause coverage. The FY2024 data identify two structural drivers: 36 vacancies in the 8 divisions above the 12% trigger, and Fire's 14.6% OT ratio. The Hybrid is the only option that addresses both - B fills 24 vacancies and caps Fire OT, while A addresses neither (assumption A5 leaves all 54 vacancies unfilled and A4 leaves Fire OT untouched). A's score is dragged down precisely where the data locate the problem: only +4.0 points of SLA gain and 8 -&gt; 5 failing processes.</w:t>
      </w:r>
    </w:p>
    <w:p>
      <w:pPr>
        <w:pStyle w:val="ListBullet"/>
        <w:spacing w:after="60"/>
        <w:ind w:left="360"/>
      </w:pPr>
      <w:r>
        <w:t>(2) Cost-effectiveness within the authorized envelope. A's $829K steady savings are real but purchased at complexity 4/5 and risk 4/5. B's $832K steady net cost is not new spending - it converts currently unbudgeted overtime ($4.35M citywide, 9.6% of regular hours) into budgeted regular time for 24 of 36 trigger vacancies, within the existing 596-position authority. The Hybrid nets to $379K/yr steady (Y1 $942K) - roughly one-third of A's net cost while delivering B's full service recovery plus $453K/yr of A-style savings from the compact.</w:t>
      </w:r>
    </w:p>
    <w:p>
      <w:pPr>
        <w:pStyle w:val="ListBullet"/>
        <w:spacing w:after="60"/>
        <w:ind w:left="360"/>
      </w:pPr>
      <w:r>
        <w:t>(3) Service delivery outcomes. The Hybrid produces the best projected outcomes on every citizen-facing metric: 8 -&gt; 2 failing processes (vs 5 for A, 3 for B), +7.2 points average on-time gain on targeted processes, and citywide average 311 resolution of 9.40 days (from 10.79, -13%), versus 10.3 (A) and 9.56 (B).</w:t>
      </w:r>
    </w:p>
    <w:p>
      <w:pPr>
        <w:pStyle w:val="ListBullet"/>
        <w:spacing w:after="60"/>
        <w:ind w:left="360"/>
      </w:pPr>
      <w:r>
        <w:t>(4) External validity. Every mechanism in the Hybrid is validated by the NYC record: centralized hiring (DCAS exam turnaround -31%, applications +58%), OT containment in uniformed services (the FDNY 40.3% OT share shows the cost of not acting), and service recovery tracking staffing recovery (DOT potholes 100% vs 98% target at a 10% vacancy rate). No comparable evidence supports consolidation as an SLA remedy; MMR analog agencies recovered without mergers.</w:t>
      </w:r>
    </w:p>
    <w:p>
      <w:pPr>
        <w:pStyle w:val="Heading2"/>
      </w:pPr>
      <w:r>
        <w:t>6.1 Key assumptions (full documentation in workbook)</w:t>
      </w:r>
    </w:p>
    <w:p>
      <w:pPr>
        <w:pStyle w:val="ListBullet"/>
        <w:spacing w:after="60"/>
        <w:ind w:left="360"/>
      </w:pPr>
      <w:r>
        <w:t>Loaded cost factor 1.35 on all salaries; average trigger-division salary $53,969 (= $1,942,900 across 36 vacancies); deduplication average salary $48,000.</w:t>
      </w:r>
    </w:p>
    <w:p>
      <w:pPr>
        <w:pStyle w:val="ListBullet"/>
        <w:spacing w:after="60"/>
        <w:ind w:left="360"/>
      </w:pPr>
      <w:r>
        <w:t>A-lite deduplication of 6 positions via 18-month attrition; 5% coordination savings on combined Public Works OT.</w:t>
      </w:r>
    </w:p>
    <w:p>
      <w:pPr>
        <w:pStyle w:val="ListBullet"/>
        <w:spacing w:after="60"/>
        <w:ind w:left="360"/>
      </w:pPr>
      <w:r>
        <w:t>24 hires land in Year 1 (67% of 36 trigger vacancies); the remaining 12 vacancies persist and are re-forecast in the FY2026 review.</w:t>
      </w:r>
    </w:p>
    <w:p>
      <w:pPr>
        <w:pStyle w:val="ListBullet"/>
        <w:spacing w:after="60"/>
        <w:ind w:left="360"/>
      </w:pPr>
      <w:r>
        <w:t>Fire OT cap path 14.6% -&gt; 12.0% (Y1) -&gt; 10.5% (Y2); seasonal pools cut Sanitation spike OT 15% and Transportation spike OT 15%.</w:t>
      </w:r>
    </w:p>
    <w:p>
      <w:pPr>
        <w:pStyle w:val="ListBullet"/>
        <w:spacing w:after="60"/>
        <w:ind w:left="360"/>
      </w:pPr>
      <w:r>
        <w:t>One-time costs: $45K cross-training and $120K for the centralized hiring unit (staffing/systems); no merger-related MOU/IT costs until any FY2027 Health-Parks decision.</w:t>
      </w:r>
    </w:p>
    <w:p>
      <w:pPr>
        <w:pStyle w:val="ListBullet"/>
        <w:spacing w:after="60"/>
        <w:ind w:left="360"/>
      </w:pPr>
      <w:r>
        <w:t>On-time gains of +6.0 to +7.2 points assume hiring lands by mid-FY2025; every quarter of hiring delay pushes roughly one-quarter of the modeled SLA improvement into the following year.</w:t>
      </w:r>
    </w:p>
    <w:p>
      <w:pPr>
        <w:pStyle w:val="Heading1"/>
      </w:pPr>
      <w:r>
        <w:t>7. Implementation Risks and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D9E2F3"/>
          </w:tcPr>
          <w:p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1008"/>
            <w:shd w:val="clear" w:fill="D9E2F3"/>
          </w:tcPr>
          <w:p>
            <w:r/>
            <w:r>
              <w:rPr>
                <w:b/>
                <w:sz w:val="19"/>
              </w:rPr>
              <w:t>Rating</w:t>
            </w:r>
          </w:p>
        </w:tc>
        <w:tc>
          <w:tcPr>
            <w:tcW w:type="dxa" w:w="4896"/>
            <w:shd w:val="clear" w:fill="D9E2F3"/>
          </w:tcPr>
          <w:p>
            <w:r/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Recruitment market cannot supply 24 qualified candidates in FY2025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Phase hires over 6 quarters; prioritize the divisions owning the worst SLAs (Road Maintenance, Public Transit, Clinical Services, Environmental Health)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Fire OT cap conflicts with minimum-staffing contract terms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Negotiate the cap as a budget target with the union; if the cap binds, backfill with Fire-eligible cross-trainees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Attrition timing delays deduplication savings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Treat the $388.8K as phased (50% Y1); report quarterly to Council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Cross-training dilutes specialist output (e.g., Traffic Engineering)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Cap pool assignments at 90 days; exclude licensing-constrained roles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FY2027 Health-Parks merger question returns without new evidence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The FY2026 review will use trigger-division vacancy tracking and the 8-process SLA panel as go/no-go criteria</w:t>
            </w:r>
          </w:p>
        </w:tc>
      </w:tr>
    </w:tbl>
    <w:p>
      <w:r>
        <w:rPr>
          <w:b w:val="0"/>
          <w:i/>
          <w:sz w:val="18"/>
        </w:rPr>
        <w:t>Table 9. Principal risks.</w:t>
      </w:r>
    </w:p>
    <w:p>
      <w:r>
        <w:rPr>
          <w:b w:val="0"/>
          <w:i w:val="0"/>
        </w:rPr>
        <w:t>Requested Council action: (1) adopt the Hybrid restructuring plan; (2) authorize the centralized hiring unit ($120K one-time) and the $45K cross-training program effective Q1 FY2025; (3) direct the Budget Office to report quarterly on trigger-division vacancy fill rates, Fire OT percentage against the cap path, and the eight-process SLA panel; (4) schedule the Health-Parks consolidation question for the FY2027 budget cycle with a data-driven go/no-go review.</w:t>
      </w:r>
    </w:p>
    <w:p>
      <w:r>
        <w:rPr>
          <w:b w:val="0"/>
          <w:i/>
          <w:sz w:val="18"/>
        </w:rPr>
        <w:t>All figures in this memo are reproduced from, and reconcile line-by-line with, the attached Cost-Benefit Analysis workbook (Baseline Metrics, Proposal A Model, Proposal B Model, Comparison Summary tabs) and the underlying source files: Greenfield_Dept_Staffing_Overtime_FY2024.xlsx, Greenfield_311_Service_Requests_FY2024.csv, NYC_Expense_Budget_Selected.csv, NYS Comptroller Report 2-2025, and the NYC MMR indicator dataset (rbed-zzin).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