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32"/>
        </w:rPr>
        <w:t>CITY OF GREENFIELD</w:t>
      </w:r>
    </w:p>
    <w:p>
      <w:pPr>
        <w:jc w:val="center"/>
      </w:pPr>
      <w:r>
        <w:rPr>
          <w:b/>
          <w:color w:val="1F3864"/>
          <w:sz w:val="26"/>
        </w:rPr>
        <w:t>DECISION BRIEFING MEMORANDUM</w:t>
      </w:r>
    </w:p>
    <w:p>
      <w:pPr>
        <w:jc w:val="center"/>
      </w:pPr>
      <w:r>
        <w:rPr>
          <w:i/>
          <w:sz w:val="22"/>
        </w:rPr>
        <w:t>Departmental Restructuring: Proposal A (Consolidate) vs. Proposal B (Targeted Fix)</w:t>
      </w:r>
    </w:p>
    <w:tbl>
      <w:tblPr>
        <w:tblStyle w:val="TableGrid"/>
        <w:tblW w:type="auto" w:w="0"/>
        <w:jc w:val="center"/>
        <w:tblLook w:firstColumn="1" w:firstRow="1" w:lastColumn="0" w:lastRow="0" w:noHBand="0" w:noVBand="1" w:val="04A0"/>
      </w:tblPr>
      <w:tblGrid>
        <w:gridCol w:w="4824"/>
        <w:gridCol w:w="4824"/>
      </w:tblGrid>
      <w:tr>
        <w:tc>
          <w:tcPr>
            <w:tcW w:type="dxa" w:w="4824"/>
            <w:shd w:val="clear" w:fill="1F3864"/>
          </w:tcPr>
          <w:p>
            <w:r/>
            <w:r>
              <w:rPr>
                <w:b/>
                <w:color w:val="FFFFFF"/>
                <w:sz w:val="20"/>
              </w:rPr>
            </w:r>
          </w:p>
        </w:tc>
        <w:tc>
          <w:tcPr>
            <w:tcW w:type="dxa" w:w="4824"/>
            <w:shd w:val="clear" w:fill="1F3864"/>
          </w:tcPr>
          <w:p>
            <w:r/>
            <w:r>
              <w:rPr>
                <w:b/>
                <w:color w:val="FFFFFF"/>
                <w:sz w:val="20"/>
              </w:rPr>
            </w:r>
          </w:p>
        </w:tc>
      </w:tr>
      <w:tr>
        <w:tc>
          <w:tcPr>
            <w:tcW w:type="dxa" w:w="4824"/>
          </w:tcPr>
          <w:p>
            <w:r/>
            <w:r>
              <w:rPr>
                <w:sz w:val="20"/>
              </w:rPr>
              <w:t>To:</w:t>
            </w:r>
          </w:p>
        </w:tc>
        <w:tc>
          <w:tcPr>
            <w:tcW w:type="dxa" w:w="4824"/>
          </w:tcPr>
          <w:p>
            <w:r/>
            <w:r>
              <w:rPr>
                <w:sz w:val="20"/>
              </w:rPr>
              <w:t>Mayor and Members of the City Council</w:t>
            </w:r>
          </w:p>
        </w:tc>
      </w:tr>
      <w:tr>
        <w:tc>
          <w:tcPr>
            <w:tcW w:type="dxa" w:w="4824"/>
          </w:tcPr>
          <w:p>
            <w:r/>
            <w:r>
              <w:rPr>
                <w:sz w:val="20"/>
              </w:rPr>
              <w:t>From:</w:t>
            </w:r>
          </w:p>
        </w:tc>
        <w:tc>
          <w:tcPr>
            <w:tcW w:type="dxa" w:w="4824"/>
          </w:tcPr>
          <w:p>
            <w:r/>
            <w:r>
              <w:rPr>
                <w:sz w:val="20"/>
              </w:rPr>
              <w:t>Office of the City Manager - Management Analyst</w:t>
            </w:r>
          </w:p>
        </w:tc>
      </w:tr>
      <w:tr>
        <w:tc>
          <w:tcPr>
            <w:tcW w:type="dxa" w:w="4824"/>
          </w:tcPr>
          <w:p>
            <w:r/>
            <w:r>
              <w:rPr>
                <w:sz w:val="20"/>
              </w:rPr>
              <w:t>Date:</w:t>
            </w:r>
          </w:p>
        </w:tc>
        <w:tc>
          <w:tcPr>
            <w:tcW w:type="dxa" w:w="4824"/>
          </w:tcPr>
          <w:p>
            <w:r/>
            <w:r>
              <w:rPr>
                <w:sz w:val="20"/>
              </w:rPr>
              <w:t>October 19, 2026</w:t>
            </w:r>
          </w:p>
        </w:tc>
      </w:tr>
      <w:tr>
        <w:tc>
          <w:tcPr>
            <w:tcW w:type="dxa" w:w="4824"/>
          </w:tcPr>
          <w:p>
            <w:r/>
            <w:r>
              <w:rPr>
                <w:sz w:val="20"/>
              </w:rPr>
              <w:t>Subject:</w:t>
            </w:r>
          </w:p>
        </w:tc>
        <w:tc>
          <w:tcPr>
            <w:tcW w:type="dxa" w:w="4824"/>
          </w:tcPr>
          <w:p>
            <w:r/>
            <w:r>
              <w:rPr>
                <w:sz w:val="20"/>
              </w:rPr>
              <w:t>Restructuring of five operating departments (Parks &amp; Recreation, Sanitation, Transportation, Health Services, Fire Department; 596 authorized / 542 filled positions) - recommendation for the Council vote</w:t>
            </w:r>
          </w:p>
        </w:tc>
      </w:tr>
      <w:tr>
        <w:tc>
          <w:tcPr>
            <w:tcW w:type="dxa" w:w="4824"/>
          </w:tcPr>
          <w:p>
            <w:r/>
            <w:r>
              <w:rPr>
                <w:sz w:val="20"/>
              </w:rPr>
              <w:t>Attachments:</w:t>
            </w:r>
          </w:p>
        </w:tc>
        <w:tc>
          <w:tcPr>
            <w:tcW w:type="dxa" w:w="4824"/>
          </w:tcPr>
          <w:p>
            <w:r/>
            <w:r>
              <w:rPr>
                <w:sz w:val="20"/>
              </w:rPr>
              <w:t>Cost-Benefit Analysis Workbook (Greenfield_CostBenefit_Analysis.xlsx); Council Presentation (Greenfield_Council_Presentation.pptx)</w:t>
            </w:r>
          </w:p>
        </w:tc>
      </w:tr>
    </w:tbl>
    <w:p/>
    <w:p>
      <w:pPr>
        <w:pStyle w:val="Heading1"/>
      </w:pPr>
      <w:r>
        <w:rPr>
          <w:rFonts w:ascii="Calibri" w:hAnsi="Calibri"/>
          <w:color w:val="1F3864"/>
        </w:rPr>
        <w:t>1. Purpose and Bottom Line</w:t>
      </w:r>
    </w:p>
    <w:p>
      <w:pPr>
        <w:spacing w:after="120"/>
      </w:pPr>
      <w:r>
        <w:rPr>
          <w:b w:val="0"/>
          <w:i w:val="0"/>
          <w:sz w:val="21"/>
        </w:rPr>
        <w:t>The Council will vote on two restructuring proposals for Greenfield's five operating departments. This memorandum presents the FY2024 operational baseline, a benchmark comparison against New York City's equivalent agencies (Mayor's Management Report and the NYS Comptroller's 2024 staffing-trends report), a cost-benefit model of each proposal, and a recommendation. All figures in this memo, the workbook, and the presentation are drawn from a single analysis of the city's FY2024 staffing, overtime, 311 service-request, and process-metrics data, benchmarked against the pinned NYC sources.</w:t>
      </w:r>
    </w:p>
    <w:p>
      <w:r>
        <w:rPr>
          <w:b/>
        </w:rPr>
        <w:t>Recommendation: adopt the Hybrid option - implement Proposal B in full now (Phase 1), launch a gated and fully reversible Public-Works fleet-sharing pilot (Phase 2), and re-evaluate consolidation only if the pilot meets pre-agreed performance gates (Phase 3).</w:t>
      </w:r>
    </w:p>
    <w:p>
      <w:pPr>
        <w:spacing w:after="120"/>
      </w:pPr>
      <w:r>
        <w:rPr>
          <w:b w:val="0"/>
          <w:i w:val="0"/>
          <w:sz w:val="21"/>
        </w:rPr>
        <w:t>The recommendation scores highest on a transparent five-dimension rubric (Hybrid 3.6, Proposal B 3.4, Proposal A 3.2; weights: savings 30%, service-level improvement 30%, complexity 20%, risk 20%) and delivers the best risk-adjusted fiscal outcome: $1,580,027.75 cumulative three-year net savings versus $532,763.70 for Proposal B and $1,972,828.82 for Proposal A, while matching Proposal B's service-level gain (+8.3 percentage points on-time, 6 of 8 failing processes fixed) and avoiding Proposal A's negative first year ($-205,434.24).</w:t>
      </w:r>
    </w:p>
    <w:p>
      <w:pPr>
        <w:pStyle w:val="Heading1"/>
      </w:pPr>
      <w:r>
        <w:rPr>
          <w:rFonts w:ascii="Calibri" w:hAnsi="Calibri"/>
          <w:color w:val="1F3864"/>
        </w:rPr>
        <w:t>2. Situation Overview: Staffing Health and Citizen Service Outcomes</w:t>
      </w:r>
    </w:p>
    <w:p>
      <w:pPr>
        <w:pStyle w:val="Heading2"/>
      </w:pPr>
      <w:r>
        <w:rPr>
          <w:rFonts w:ascii="Calibri" w:hAnsi="Calibri"/>
          <w:color w:val="1F3864"/>
        </w:rPr>
        <w:t>2.1 Staffing health</w:t>
      </w:r>
    </w:p>
    <w:p>
      <w:pPr>
        <w:spacing w:after="120"/>
      </w:pPr>
      <w:r>
        <w:rPr>
          <w:b w:val="0"/>
          <w:i w:val="0"/>
          <w:sz w:val="21"/>
        </w:rPr>
        <w:t>Greenfield authorizes 596 positions across the five departments and fills 542, a citywide vacancy rate of 9.06% on an annual payroll of $28,389,900. Vacancy is unevenly distributed: Health Services (16.7%) and Transportation (14.9%) run at double-digit vacancy, while the Fire Department (3.5%) and Parks &amp; Recreation (5.2%) are near full strength. Eight divisions - all four Transportation divisions and all four Health Services divisions - exceed the 12% vacancy trigger that Proposal B uses to activate centralized hiring, together accounting for 36 vacant positions.</w:t>
      </w:r>
    </w:p>
    <w:p>
      <w:pPr>
        <w:pStyle w:val="Heading2"/>
      </w:pPr>
      <w:r>
        <w:rPr>
          <w:rFonts w:ascii="Calibri" w:hAnsi="Calibri"/>
          <w:color w:val="1F3864"/>
        </w:rPr>
        <w:t>2.2 Overtime cost structure</w:t>
      </w:r>
    </w:p>
    <w:p>
      <w:pPr>
        <w:spacing w:after="120"/>
      </w:pPr>
      <w:r>
        <w:rPr>
          <w:b w:val="0"/>
          <w:i w:val="0"/>
          <w:sz w:val="21"/>
        </w:rPr>
        <w:t>Departmental overtime totaled $4,354,518.25 in FY2024, 9.59% of regular hours. The cost is heavily concentrated: the Fire Department alone accounts for $2,085,312 (14.6% of its regular hours, above the 10% threshold in all 12 months) - roughly 48% of citywide OT spend. Sanitation sits just under the threshold at 9.8% (5 months above 10%), making it a watch-list case. Overtime per filled employee ranges from $4,127 (Parks) to $15,221 (Fire).</w:t>
      </w:r>
    </w:p>
    <w:p>
      <w:pPr>
        <w:pStyle w:val="Heading2"/>
      </w:pPr>
      <w:r>
        <w:rPr>
          <w:rFonts w:ascii="Calibri" w:hAnsi="Calibri"/>
          <w:color w:val="1F3864"/>
        </w:rPr>
        <w:t>2.3 Citizen service outcomes</w:t>
      </w:r>
    </w:p>
    <w:p>
      <w:pPr>
        <w:spacing w:after="120"/>
      </w:pPr>
      <w:r>
        <w:rPr>
          <w:b w:val="0"/>
          <w:i w:val="0"/>
          <w:sz w:val="21"/>
        </w:rPr>
        <w:t>The FY2024 311 file contains 500 service requests: 437 closed with an average resolution time of 10.79 days (median 7.0, 90th percentile 30.4 days) and average satisfaction of 3.63/5. 63 requests remain open or in progress at year end - 58 older than 30 days and 47 older than 90 days, with the oldest request at 365 days. Of the 25 tracked business processes, 8 operate below the 65% on-time standard, including every Transportation field process measured.</w:t>
      </w:r>
    </w:p>
    <w:p>
      <w:pPr>
        <w:spacing w:after="120"/>
      </w:pPr>
      <w:r>
        <w:rPr>
          <w:b w:val="0"/>
          <w:i w:val="0"/>
          <w:sz w:val="21"/>
        </w:rPr>
        <w:t>Staffing health and service outcomes move together. Across the five departments, vacancy rate correlates with 311 resolution time at r = 0.67 and with resident satisfaction at r = -0.52. The two departments with the highest vacancy - Transportation and Health Services - also post the slowest 311 resolution (13.6 and 12.0 days) and account for 4 of the 8 sub-standard processes. This pattern is the analytical core of the decision: vacancies are not an HR statistic, they are visible in resident service outcomes, and they are being papered over with overtime.</w:t>
      </w:r>
    </w:p>
    <w:tbl>
      <w:tblPr>
        <w:tblStyle w:val="TableGrid"/>
        <w:tblW w:type="auto" w:w="0"/>
        <w:jc w:val="center"/>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1072"/>
            <w:shd w:val="clear" w:fill="1F3864"/>
          </w:tcPr>
          <w:p>
            <w:r/>
            <w:r>
              <w:rPr>
                <w:b/>
                <w:color w:val="FFFFFF"/>
                <w:sz w:val="18"/>
              </w:rPr>
              <w:t>Department</w:t>
            </w:r>
          </w:p>
        </w:tc>
        <w:tc>
          <w:tcPr>
            <w:tcW w:type="dxa" w:w="1072"/>
            <w:shd w:val="clear" w:fill="1F3864"/>
          </w:tcPr>
          <w:p>
            <w:r/>
            <w:r>
              <w:rPr>
                <w:b/>
                <w:color w:val="FFFFFF"/>
                <w:sz w:val="18"/>
              </w:rPr>
              <w:t>Vacancy %</w:t>
            </w:r>
          </w:p>
        </w:tc>
        <w:tc>
          <w:tcPr>
            <w:tcW w:type="dxa" w:w="1072"/>
            <w:shd w:val="clear" w:fill="1F3864"/>
          </w:tcPr>
          <w:p>
            <w:r/>
            <w:r>
              <w:rPr>
                <w:b/>
                <w:color w:val="FFFFFF"/>
                <w:sz w:val="18"/>
              </w:rPr>
              <w:t>OT % of reg hrs</w:t>
            </w:r>
          </w:p>
        </w:tc>
        <w:tc>
          <w:tcPr>
            <w:tcW w:type="dxa" w:w="1072"/>
            <w:shd w:val="clear" w:fill="1F3864"/>
          </w:tcPr>
          <w:p>
            <w:r/>
            <w:r>
              <w:rPr>
                <w:b/>
                <w:color w:val="FFFFFF"/>
                <w:sz w:val="18"/>
              </w:rPr>
              <w:t>OT cost $</w:t>
            </w:r>
          </w:p>
        </w:tc>
        <w:tc>
          <w:tcPr>
            <w:tcW w:type="dxa" w:w="1072"/>
            <w:shd w:val="clear" w:fill="1F3864"/>
          </w:tcPr>
          <w:p>
            <w:r/>
            <w:r>
              <w:rPr>
                <w:b/>
                <w:color w:val="FFFFFF"/>
                <w:sz w:val="18"/>
              </w:rPr>
              <w:t>311 avg days</w:t>
            </w:r>
          </w:p>
        </w:tc>
        <w:tc>
          <w:tcPr>
            <w:tcW w:type="dxa" w:w="1072"/>
            <w:shd w:val="clear" w:fill="1F3864"/>
          </w:tcPr>
          <w:p>
            <w:r/>
            <w:r>
              <w:rPr>
                <w:b/>
                <w:color w:val="FFFFFF"/>
                <w:sz w:val="18"/>
              </w:rPr>
              <w:t>Satisfaction (1-5)</w:t>
            </w:r>
          </w:p>
        </w:tc>
        <w:tc>
          <w:tcPr>
            <w:tcW w:type="dxa" w:w="1072"/>
            <w:shd w:val="clear" w:fill="1F3864"/>
          </w:tcPr>
          <w:p>
            <w:r/>
            <w:r>
              <w:rPr>
                <w:b/>
                <w:color w:val="FFFFFF"/>
                <w:sz w:val="18"/>
              </w:rPr>
              <w:t>Worst on-time process</w:t>
            </w:r>
          </w:p>
        </w:tc>
        <w:tc>
          <w:tcPr>
            <w:tcW w:type="dxa" w:w="1072"/>
            <w:shd w:val="clear" w:fill="1F3864"/>
          </w:tcPr>
          <w:p>
            <w:r/>
            <w:r>
              <w:rPr>
                <w:b/>
                <w:color w:val="FFFFFF"/>
                <w:sz w:val="18"/>
              </w:rPr>
              <w:t>Worst on-time %</w:t>
            </w:r>
          </w:p>
        </w:tc>
        <w:tc>
          <w:tcPr>
            <w:tcW w:type="dxa" w:w="1072"/>
            <w:shd w:val="clear" w:fill="1F3864"/>
          </w:tcPr>
          <w:p>
            <w:r/>
            <w:r>
              <w:rPr>
                <w:b/>
                <w:color w:val="FFFFFF"/>
                <w:sz w:val="18"/>
              </w:rPr>
              <w:t>Procs &lt;65%</w:t>
            </w:r>
          </w:p>
        </w:tc>
      </w:tr>
      <w:tr>
        <w:tc>
          <w:tcPr>
            <w:tcW w:type="dxa" w:w="1072"/>
          </w:tcPr>
          <w:p>
            <w:r/>
            <w:r>
              <w:rPr>
                <w:sz w:val="18"/>
              </w:rPr>
              <w:t>Parks &amp; Recreation</w:t>
            </w:r>
          </w:p>
        </w:tc>
        <w:tc>
          <w:tcPr>
            <w:tcW w:type="dxa" w:w="1072"/>
          </w:tcPr>
          <w:p>
            <w:pPr>
              <w:jc w:val="right"/>
            </w:pPr>
            <w:r/>
            <w:r>
              <w:rPr>
                <w:sz w:val="18"/>
              </w:rPr>
              <w:t>5.2%</w:t>
            </w:r>
          </w:p>
        </w:tc>
        <w:tc>
          <w:tcPr>
            <w:tcW w:type="dxa" w:w="1072"/>
          </w:tcPr>
          <w:p>
            <w:pPr>
              <w:jc w:val="right"/>
            </w:pPr>
            <w:r/>
            <w:r>
              <w:rPr>
                <w:sz w:val="18"/>
              </w:rPr>
              <w:t>6.05%</w:t>
            </w:r>
          </w:p>
        </w:tc>
        <w:tc>
          <w:tcPr>
            <w:tcW w:type="dxa" w:w="1072"/>
          </w:tcPr>
          <w:p>
            <w:pPr>
              <w:jc w:val="right"/>
            </w:pPr>
            <w:r/>
            <w:r>
              <w:rPr>
                <w:sz w:val="18"/>
              </w:rPr>
              <w:t>$453,960.00</w:t>
            </w:r>
          </w:p>
        </w:tc>
        <w:tc>
          <w:tcPr>
            <w:tcW w:type="dxa" w:w="1072"/>
          </w:tcPr>
          <w:p>
            <w:pPr>
              <w:jc w:val="right"/>
            </w:pPr>
            <w:r/>
            <w:r>
              <w:rPr>
                <w:sz w:val="18"/>
              </w:rPr>
              <w:t>12.5</w:t>
            </w:r>
          </w:p>
        </w:tc>
        <w:tc>
          <w:tcPr>
            <w:tcW w:type="dxa" w:w="1072"/>
          </w:tcPr>
          <w:p>
            <w:pPr>
              <w:jc w:val="right"/>
            </w:pPr>
            <w:r/>
            <w:r>
              <w:rPr>
                <w:sz w:val="18"/>
              </w:rPr>
              <w:t>3.55</w:t>
            </w:r>
          </w:p>
        </w:tc>
        <w:tc>
          <w:tcPr>
            <w:tcW w:type="dxa" w:w="1072"/>
          </w:tcPr>
          <w:p>
            <w:r/>
            <w:r>
              <w:rPr>
                <w:sz w:val="18"/>
              </w:rPr>
              <w:t>Tree Removal Request</w:t>
            </w:r>
          </w:p>
        </w:tc>
        <w:tc>
          <w:tcPr>
            <w:tcW w:type="dxa" w:w="1072"/>
          </w:tcPr>
          <w:p>
            <w:pPr>
              <w:jc w:val="right"/>
            </w:pPr>
            <w:r/>
            <w:r>
              <w:rPr>
                <w:sz w:val="18"/>
              </w:rPr>
              <w:t>62.4%</w:t>
            </w:r>
          </w:p>
        </w:tc>
        <w:tc>
          <w:tcPr>
            <w:tcW w:type="dxa" w:w="1072"/>
          </w:tcPr>
          <w:p>
            <w:pPr>
              <w:jc w:val="right"/>
            </w:pPr>
            <w:r/>
            <w:r>
              <w:rPr>
                <w:sz w:val="18"/>
              </w:rPr>
              <w:t>1</w:t>
            </w:r>
          </w:p>
        </w:tc>
      </w:tr>
      <w:tr>
        <w:tc>
          <w:tcPr>
            <w:tcW w:type="dxa" w:w="1072"/>
          </w:tcPr>
          <w:p>
            <w:r/>
            <w:r>
              <w:rPr>
                <w:sz w:val="18"/>
              </w:rPr>
              <w:t>Sanitation</w:t>
            </w:r>
          </w:p>
        </w:tc>
        <w:tc>
          <w:tcPr>
            <w:tcW w:type="dxa" w:w="1072"/>
          </w:tcPr>
          <w:p>
            <w:pPr>
              <w:jc w:val="right"/>
            </w:pPr>
            <w:r/>
            <w:r>
              <w:rPr>
                <w:sz w:val="18"/>
              </w:rPr>
              <w:t>6.5%</w:t>
            </w:r>
          </w:p>
        </w:tc>
        <w:tc>
          <w:tcPr>
            <w:tcW w:type="dxa" w:w="1072"/>
          </w:tcPr>
          <w:p>
            <w:pPr>
              <w:jc w:val="right"/>
            </w:pPr>
            <w:r/>
            <w:r>
              <w:rPr>
                <w:sz w:val="18"/>
              </w:rPr>
              <w:t>9.79%</w:t>
            </w:r>
          </w:p>
        </w:tc>
        <w:tc>
          <w:tcPr>
            <w:tcW w:type="dxa" w:w="1072"/>
          </w:tcPr>
          <w:p>
            <w:pPr>
              <w:jc w:val="right"/>
            </w:pPr>
            <w:r/>
            <w:r>
              <w:rPr>
                <w:sz w:val="18"/>
              </w:rPr>
              <w:t>$646,877.00</w:t>
            </w:r>
          </w:p>
        </w:tc>
        <w:tc>
          <w:tcPr>
            <w:tcW w:type="dxa" w:w="1072"/>
          </w:tcPr>
          <w:p>
            <w:pPr>
              <w:jc w:val="right"/>
            </w:pPr>
            <w:r/>
            <w:r>
              <w:rPr>
                <w:sz w:val="18"/>
              </w:rPr>
              <w:t>9.0</w:t>
            </w:r>
          </w:p>
        </w:tc>
        <w:tc>
          <w:tcPr>
            <w:tcW w:type="dxa" w:w="1072"/>
          </w:tcPr>
          <w:p>
            <w:pPr>
              <w:jc w:val="right"/>
            </w:pPr>
            <w:r/>
            <w:r>
              <w:rPr>
                <w:sz w:val="18"/>
              </w:rPr>
              <w:t>3.64</w:t>
            </w:r>
          </w:p>
        </w:tc>
        <w:tc>
          <w:tcPr>
            <w:tcW w:type="dxa" w:w="1072"/>
          </w:tcPr>
          <w:p>
            <w:r/>
            <w:r>
              <w:rPr>
                <w:sz w:val="18"/>
              </w:rPr>
              <w:t>Illegal Dumping Investigation</w:t>
            </w:r>
          </w:p>
        </w:tc>
        <w:tc>
          <w:tcPr>
            <w:tcW w:type="dxa" w:w="1072"/>
          </w:tcPr>
          <w:p>
            <w:pPr>
              <w:jc w:val="right"/>
            </w:pPr>
            <w:r/>
            <w:r>
              <w:rPr>
                <w:sz w:val="18"/>
              </w:rPr>
              <w:t>54.2%</w:t>
            </w:r>
          </w:p>
        </w:tc>
        <w:tc>
          <w:tcPr>
            <w:tcW w:type="dxa" w:w="1072"/>
          </w:tcPr>
          <w:p>
            <w:pPr>
              <w:jc w:val="right"/>
            </w:pPr>
            <w:r/>
            <w:r>
              <w:rPr>
                <w:sz w:val="18"/>
              </w:rPr>
              <w:t>2</w:t>
            </w:r>
          </w:p>
        </w:tc>
      </w:tr>
      <w:tr>
        <w:tc>
          <w:tcPr>
            <w:tcW w:type="dxa" w:w="1072"/>
          </w:tcPr>
          <w:p>
            <w:r/>
            <w:r>
              <w:rPr>
                <w:sz w:val="18"/>
              </w:rPr>
              <w:t>Transportation</w:t>
            </w:r>
          </w:p>
        </w:tc>
        <w:tc>
          <w:tcPr>
            <w:tcW w:type="dxa" w:w="1072"/>
          </w:tcPr>
          <w:p>
            <w:pPr>
              <w:jc w:val="right"/>
            </w:pPr>
            <w:r/>
            <w:r>
              <w:rPr>
                <w:sz w:val="18"/>
              </w:rPr>
              <w:t>14.9%</w:t>
            </w:r>
          </w:p>
        </w:tc>
        <w:tc>
          <w:tcPr>
            <w:tcW w:type="dxa" w:w="1072"/>
          </w:tcPr>
          <w:p>
            <w:pPr>
              <w:jc w:val="right"/>
            </w:pPr>
            <w:r/>
            <w:r>
              <w:rPr>
                <w:sz w:val="18"/>
              </w:rPr>
              <w:t>8.36%</w:t>
            </w:r>
          </w:p>
        </w:tc>
        <w:tc>
          <w:tcPr>
            <w:tcW w:type="dxa" w:w="1072"/>
          </w:tcPr>
          <w:p>
            <w:pPr>
              <w:jc w:val="right"/>
            </w:pPr>
            <w:r/>
            <w:r>
              <w:rPr>
                <w:sz w:val="18"/>
              </w:rPr>
              <w:t>$642,979.25</w:t>
            </w:r>
          </w:p>
        </w:tc>
        <w:tc>
          <w:tcPr>
            <w:tcW w:type="dxa" w:w="1072"/>
          </w:tcPr>
          <w:p>
            <w:pPr>
              <w:jc w:val="right"/>
            </w:pPr>
            <w:r/>
            <w:r>
              <w:rPr>
                <w:sz w:val="18"/>
              </w:rPr>
              <w:t>13.6</w:t>
            </w:r>
          </w:p>
        </w:tc>
        <w:tc>
          <w:tcPr>
            <w:tcW w:type="dxa" w:w="1072"/>
          </w:tcPr>
          <w:p>
            <w:pPr>
              <w:jc w:val="right"/>
            </w:pPr>
            <w:r/>
            <w:r>
              <w:rPr>
                <w:sz w:val="18"/>
              </w:rPr>
              <w:t>3.36</w:t>
            </w:r>
          </w:p>
        </w:tc>
        <w:tc>
          <w:tcPr>
            <w:tcW w:type="dxa" w:w="1072"/>
          </w:tcPr>
          <w:p>
            <w:r/>
            <w:r>
              <w:rPr>
                <w:sz w:val="18"/>
              </w:rPr>
              <w:t>Street Resurfacing Project</w:t>
            </w:r>
          </w:p>
        </w:tc>
        <w:tc>
          <w:tcPr>
            <w:tcW w:type="dxa" w:w="1072"/>
          </w:tcPr>
          <w:p>
            <w:pPr>
              <w:jc w:val="right"/>
            </w:pPr>
            <w:r/>
            <w:r>
              <w:rPr>
                <w:sz w:val="18"/>
              </w:rPr>
              <w:t>48.3%</w:t>
            </w:r>
          </w:p>
        </w:tc>
        <w:tc>
          <w:tcPr>
            <w:tcW w:type="dxa" w:w="1072"/>
          </w:tcPr>
          <w:p>
            <w:pPr>
              <w:jc w:val="right"/>
            </w:pPr>
            <w:r/>
            <w:r>
              <w:rPr>
                <w:sz w:val="18"/>
              </w:rPr>
              <w:t>3</w:t>
            </w:r>
          </w:p>
        </w:tc>
      </w:tr>
      <w:tr>
        <w:tc>
          <w:tcPr>
            <w:tcW w:type="dxa" w:w="1072"/>
          </w:tcPr>
          <w:p>
            <w:r/>
            <w:r>
              <w:rPr>
                <w:sz w:val="18"/>
              </w:rPr>
              <w:t>Health Services</w:t>
            </w:r>
          </w:p>
        </w:tc>
        <w:tc>
          <w:tcPr>
            <w:tcW w:type="dxa" w:w="1072"/>
          </w:tcPr>
          <w:p>
            <w:pPr>
              <w:jc w:val="right"/>
            </w:pPr>
            <w:r/>
            <w:r>
              <w:rPr>
                <w:sz w:val="18"/>
              </w:rPr>
              <w:t>16.7%</w:t>
            </w:r>
          </w:p>
        </w:tc>
        <w:tc>
          <w:tcPr>
            <w:tcW w:type="dxa" w:w="1072"/>
          </w:tcPr>
          <w:p>
            <w:pPr>
              <w:jc w:val="right"/>
            </w:pPr>
            <w:r/>
            <w:r>
              <w:rPr>
                <w:sz w:val="18"/>
              </w:rPr>
              <w:t>7.13%</w:t>
            </w:r>
          </w:p>
        </w:tc>
        <w:tc>
          <w:tcPr>
            <w:tcW w:type="dxa" w:w="1072"/>
          </w:tcPr>
          <w:p>
            <w:pPr>
              <w:jc w:val="right"/>
            </w:pPr>
            <w:r/>
            <w:r>
              <w:rPr>
                <w:sz w:val="18"/>
              </w:rPr>
              <w:t>$525,390.00</w:t>
            </w:r>
          </w:p>
        </w:tc>
        <w:tc>
          <w:tcPr>
            <w:tcW w:type="dxa" w:w="1072"/>
          </w:tcPr>
          <w:p>
            <w:pPr>
              <w:jc w:val="right"/>
            </w:pPr>
            <w:r/>
            <w:r>
              <w:rPr>
                <w:sz w:val="18"/>
              </w:rPr>
              <w:t>12.0</w:t>
            </w:r>
          </w:p>
        </w:tc>
        <w:tc>
          <w:tcPr>
            <w:tcW w:type="dxa" w:w="1072"/>
          </w:tcPr>
          <w:p>
            <w:pPr>
              <w:jc w:val="right"/>
            </w:pPr>
            <w:r/>
            <w:r>
              <w:rPr>
                <w:sz w:val="18"/>
              </w:rPr>
              <w:t>3.72</w:t>
            </w:r>
          </w:p>
        </w:tc>
        <w:tc>
          <w:tcPr>
            <w:tcW w:type="dxa" w:w="1072"/>
          </w:tcPr>
          <w:p>
            <w:r/>
            <w:r>
              <w:rPr>
                <w:sz w:val="18"/>
              </w:rPr>
              <w:t>Environmental Complaint Investigation</w:t>
            </w:r>
          </w:p>
        </w:tc>
        <w:tc>
          <w:tcPr>
            <w:tcW w:type="dxa" w:w="1072"/>
          </w:tcPr>
          <w:p>
            <w:pPr>
              <w:jc w:val="right"/>
            </w:pPr>
            <w:r/>
            <w:r>
              <w:rPr>
                <w:sz w:val="18"/>
              </w:rPr>
              <w:t>64.1%</w:t>
            </w:r>
          </w:p>
        </w:tc>
        <w:tc>
          <w:tcPr>
            <w:tcW w:type="dxa" w:w="1072"/>
          </w:tcPr>
          <w:p>
            <w:pPr>
              <w:jc w:val="right"/>
            </w:pPr>
            <w:r/>
            <w:r>
              <w:rPr>
                <w:sz w:val="18"/>
              </w:rPr>
              <w:t>1</w:t>
            </w:r>
          </w:p>
        </w:tc>
      </w:tr>
      <w:tr>
        <w:tc>
          <w:tcPr>
            <w:tcW w:type="dxa" w:w="1072"/>
          </w:tcPr>
          <w:p>
            <w:r/>
            <w:r>
              <w:rPr>
                <w:sz w:val="18"/>
              </w:rPr>
              <w:t>Fire Department</w:t>
            </w:r>
          </w:p>
        </w:tc>
        <w:tc>
          <w:tcPr>
            <w:tcW w:type="dxa" w:w="1072"/>
          </w:tcPr>
          <w:p>
            <w:pPr>
              <w:jc w:val="right"/>
            </w:pPr>
            <w:r/>
            <w:r>
              <w:rPr>
                <w:sz w:val="18"/>
              </w:rPr>
              <w:t>3.5%</w:t>
            </w:r>
          </w:p>
        </w:tc>
        <w:tc>
          <w:tcPr>
            <w:tcW w:type="dxa" w:w="1072"/>
          </w:tcPr>
          <w:p>
            <w:pPr>
              <w:jc w:val="right"/>
            </w:pPr>
            <w:r/>
            <w:r>
              <w:rPr>
                <w:sz w:val="18"/>
              </w:rPr>
              <w:t>14.57%</w:t>
            </w:r>
          </w:p>
        </w:tc>
        <w:tc>
          <w:tcPr>
            <w:tcW w:type="dxa" w:w="1072"/>
          </w:tcPr>
          <w:p>
            <w:pPr>
              <w:jc w:val="right"/>
            </w:pPr>
            <w:r/>
            <w:r>
              <w:rPr>
                <w:sz w:val="18"/>
              </w:rPr>
              <w:t>$2,085,312.00</w:t>
            </w:r>
          </w:p>
        </w:tc>
        <w:tc>
          <w:tcPr>
            <w:tcW w:type="dxa" w:w="1072"/>
          </w:tcPr>
          <w:p>
            <w:pPr>
              <w:jc w:val="right"/>
            </w:pPr>
            <w:r/>
            <w:r>
              <w:rPr>
                <w:sz w:val="18"/>
              </w:rPr>
              <w:t>3.8</w:t>
            </w:r>
          </w:p>
        </w:tc>
        <w:tc>
          <w:tcPr>
            <w:tcW w:type="dxa" w:w="1072"/>
          </w:tcPr>
          <w:p>
            <w:pPr>
              <w:jc w:val="right"/>
            </w:pPr>
            <w:r/>
            <w:r>
              <w:rPr>
                <w:sz w:val="18"/>
              </w:rPr>
              <w:t>4.23</w:t>
            </w:r>
          </w:p>
        </w:tc>
        <w:tc>
          <w:tcPr>
            <w:tcW w:type="dxa" w:w="1072"/>
          </w:tcPr>
          <w:p>
            <w:r/>
            <w:r>
              <w:rPr>
                <w:sz w:val="18"/>
              </w:rPr>
              <w:t>Plan Review (New Construction)</w:t>
            </w:r>
          </w:p>
        </w:tc>
        <w:tc>
          <w:tcPr>
            <w:tcW w:type="dxa" w:w="1072"/>
          </w:tcPr>
          <w:p>
            <w:pPr>
              <w:jc w:val="right"/>
            </w:pPr>
            <w:r/>
            <w:r>
              <w:rPr>
                <w:sz w:val="18"/>
              </w:rPr>
              <w:t>59.6%</w:t>
            </w:r>
          </w:p>
        </w:tc>
        <w:tc>
          <w:tcPr>
            <w:tcW w:type="dxa" w:w="1072"/>
          </w:tcPr>
          <w:p>
            <w:pPr>
              <w:jc w:val="right"/>
            </w:pPr>
            <w:r/>
            <w:r>
              <w:rPr>
                <w:sz w:val="18"/>
              </w:rPr>
              <w:t>1</w:t>
            </w:r>
          </w:p>
        </w:tc>
      </w:tr>
    </w:tbl>
    <w:p>
      <w:pPr>
        <w:spacing w:after="200"/>
      </w:pPr>
      <w:r>
        <w:rPr>
          <w:b w:val="0"/>
          <w:i/>
          <w:sz w:val="17"/>
        </w:rPr>
        <w:t>Table 1. FY2024 department scorecard. Red-flag thresholds used throughout: vacancy &gt;12%, OT &gt;10% of regular hours, on-time &lt;65%. Full detail: Workbook, "Baseline Metrics" tab.</w:t>
      </w:r>
    </w:p>
    <w:p>
      <w:pPr>
        <w:pStyle w:val="Heading1"/>
      </w:pPr>
      <w:r>
        <w:rPr>
          <w:rFonts w:ascii="Calibri" w:hAnsi="Calibri"/>
          <w:color w:val="1F3864"/>
        </w:rPr>
        <w:t>3. NYC Benchmark Analysis</w:t>
      </w:r>
    </w:p>
    <w:p>
      <w:pPr>
        <w:spacing w:after="120"/>
      </w:pPr>
      <w:r>
        <w:rPr>
          <w:b w:val="0"/>
          <w:i w:val="0"/>
          <w:sz w:val="21"/>
        </w:rPr>
        <w:t>New York City is the pinned comparison because its five analog agencies (DPR, DSNY, DOT, DOHMH, FDNY) publish both service-performance indicators (Mayor's Management Report) and audited staffing/overtime analysis (NYS Comptroller, Report 2-2025). Three lessons transfer directly to Greenfield's decision.</w:t>
      </w:r>
    </w:p>
    <w:p>
      <w:pPr>
        <w:pStyle w:val="Heading2"/>
      </w:pPr>
      <w:r>
        <w:rPr>
          <w:rFonts w:ascii="Calibri" w:hAnsi="Calibri"/>
          <w:color w:val="1F3864"/>
        </w:rPr>
        <w:t>3.1 Cost per employee: relative structure, not absolute dollars</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val="clear" w:fill="1F3864"/>
          </w:tcPr>
          <w:p>
            <w:r/>
            <w:r>
              <w:rPr>
                <w:b/>
                <w:color w:val="FFFFFF"/>
                <w:sz w:val="18"/>
              </w:rPr>
              <w:t>Department</w:t>
            </w:r>
          </w:p>
        </w:tc>
        <w:tc>
          <w:tcPr>
            <w:tcW w:type="dxa" w:w="1608"/>
            <w:shd w:val="clear" w:fill="1F3864"/>
          </w:tcPr>
          <w:p>
            <w:r/>
            <w:r>
              <w:rPr>
                <w:b/>
                <w:color w:val="FFFFFF"/>
                <w:sz w:val="18"/>
              </w:rPr>
              <w:t>NYC analog</w:t>
            </w:r>
          </w:p>
        </w:tc>
        <w:tc>
          <w:tcPr>
            <w:tcW w:type="dxa" w:w="1608"/>
            <w:shd w:val="clear" w:fill="1F3864"/>
          </w:tcPr>
          <w:p>
            <w:r/>
            <w:r>
              <w:rPr>
                <w:b/>
                <w:color w:val="FFFFFF"/>
                <w:sz w:val="18"/>
              </w:rPr>
              <w:t>NYC headcount (Jan-24)</w:t>
            </w:r>
          </w:p>
        </w:tc>
        <w:tc>
          <w:tcPr>
            <w:tcW w:type="dxa" w:w="1608"/>
            <w:shd w:val="clear" w:fill="1F3864"/>
          </w:tcPr>
          <w:p>
            <w:r/>
            <w:r>
              <w:rPr>
                <w:b/>
                <w:color w:val="FFFFFF"/>
                <w:sz w:val="18"/>
              </w:rPr>
              <w:t>NYC PS budget per FTE $</w:t>
            </w:r>
          </w:p>
        </w:tc>
        <w:tc>
          <w:tcPr>
            <w:tcW w:type="dxa" w:w="1608"/>
            <w:shd w:val="clear" w:fill="1F3864"/>
          </w:tcPr>
          <w:p>
            <w:r/>
            <w:r>
              <w:rPr>
                <w:b/>
                <w:color w:val="FFFFFF"/>
                <w:sz w:val="18"/>
              </w:rPr>
              <w:t>Greenfield cost per employee $</w:t>
            </w:r>
          </w:p>
        </w:tc>
        <w:tc>
          <w:tcPr>
            <w:tcW w:type="dxa" w:w="1608"/>
            <w:shd w:val="clear" w:fill="1F3864"/>
          </w:tcPr>
          <w:p>
            <w:r/>
            <w:r>
              <w:rPr>
                <w:b/>
                <w:color w:val="FFFFFF"/>
                <w:sz w:val="18"/>
              </w:rPr>
              <w:t>GF/NYC ratio</w:t>
            </w:r>
          </w:p>
        </w:tc>
      </w:tr>
      <w:tr>
        <w:tc>
          <w:tcPr>
            <w:tcW w:type="dxa" w:w="1608"/>
          </w:tcPr>
          <w:p>
            <w:r/>
            <w:r>
              <w:rPr>
                <w:sz w:val="18"/>
              </w:rPr>
              <w:t>Parks &amp; Recreation</w:t>
            </w:r>
          </w:p>
        </w:tc>
        <w:tc>
          <w:tcPr>
            <w:tcW w:type="dxa" w:w="1608"/>
          </w:tcPr>
          <w:p>
            <w:r/>
            <w:r>
              <w:rPr>
                <w:sz w:val="18"/>
              </w:rPr>
              <w:t>DPR (Parks &amp; Recreation)</w:t>
            </w:r>
          </w:p>
        </w:tc>
        <w:tc>
          <w:tcPr>
            <w:tcW w:type="dxa" w:w="1608"/>
          </w:tcPr>
          <w:p>
            <w:pPr>
              <w:jc w:val="right"/>
            </w:pPr>
            <w:r/>
            <w:r>
              <w:rPr>
                <w:sz w:val="18"/>
              </w:rPr>
              <w:t>4,384</w:t>
            </w:r>
          </w:p>
        </w:tc>
        <w:tc>
          <w:tcPr>
            <w:tcW w:type="dxa" w:w="1608"/>
          </w:tcPr>
          <w:p>
            <w:pPr>
              <w:jc w:val="right"/>
            </w:pPr>
            <w:r/>
            <w:r>
              <w:rPr>
                <w:sz w:val="18"/>
              </w:rPr>
              <w:t>319,273</w:t>
            </w:r>
          </w:p>
        </w:tc>
        <w:tc>
          <w:tcPr>
            <w:tcW w:type="dxa" w:w="1608"/>
          </w:tcPr>
          <w:p>
            <w:pPr>
              <w:jc w:val="right"/>
            </w:pPr>
            <w:r/>
            <w:r>
              <w:rPr>
                <w:sz w:val="18"/>
              </w:rPr>
              <w:t>46,977</w:t>
            </w:r>
          </w:p>
        </w:tc>
        <w:tc>
          <w:tcPr>
            <w:tcW w:type="dxa" w:w="1608"/>
          </w:tcPr>
          <w:p>
            <w:pPr>
              <w:jc w:val="right"/>
            </w:pPr>
            <w:r/>
            <w:r>
              <w:rPr>
                <w:sz w:val="18"/>
              </w:rPr>
              <w:t>0.147</w:t>
            </w:r>
          </w:p>
        </w:tc>
      </w:tr>
      <w:tr>
        <w:tc>
          <w:tcPr>
            <w:tcW w:type="dxa" w:w="1608"/>
          </w:tcPr>
          <w:p>
            <w:r/>
            <w:r>
              <w:rPr>
                <w:sz w:val="18"/>
              </w:rPr>
              <w:t>Sanitation</w:t>
            </w:r>
          </w:p>
        </w:tc>
        <w:tc>
          <w:tcPr>
            <w:tcW w:type="dxa" w:w="1608"/>
          </w:tcPr>
          <w:p>
            <w:r/>
            <w:r>
              <w:rPr>
                <w:sz w:val="18"/>
              </w:rPr>
              <w:t>DSNY (Sanitation)</w:t>
            </w:r>
          </w:p>
        </w:tc>
        <w:tc>
          <w:tcPr>
            <w:tcW w:type="dxa" w:w="1608"/>
          </w:tcPr>
          <w:p>
            <w:pPr>
              <w:jc w:val="right"/>
            </w:pPr>
            <w:r/>
            <w:r>
              <w:rPr>
                <w:sz w:val="18"/>
              </w:rPr>
              <w:t>10,137</w:t>
            </w:r>
          </w:p>
        </w:tc>
        <w:tc>
          <w:tcPr>
            <w:tcW w:type="dxa" w:w="1608"/>
          </w:tcPr>
          <w:p>
            <w:pPr>
              <w:jc w:val="right"/>
            </w:pPr>
            <w:r/>
            <w:r>
              <w:rPr>
                <w:sz w:val="18"/>
              </w:rPr>
              <w:t>333,726</w:t>
            </w:r>
          </w:p>
        </w:tc>
        <w:tc>
          <w:tcPr>
            <w:tcW w:type="dxa" w:w="1608"/>
          </w:tcPr>
          <w:p>
            <w:pPr>
              <w:jc w:val="right"/>
            </w:pPr>
            <w:r/>
            <w:r>
              <w:rPr>
                <w:sz w:val="18"/>
              </w:rPr>
              <w:t>48,881</w:t>
            </w:r>
          </w:p>
        </w:tc>
        <w:tc>
          <w:tcPr>
            <w:tcW w:type="dxa" w:w="1608"/>
          </w:tcPr>
          <w:p>
            <w:pPr>
              <w:jc w:val="right"/>
            </w:pPr>
            <w:r/>
            <w:r>
              <w:rPr>
                <w:sz w:val="18"/>
              </w:rPr>
              <w:t>0.146</w:t>
            </w:r>
          </w:p>
        </w:tc>
      </w:tr>
      <w:tr>
        <w:tc>
          <w:tcPr>
            <w:tcW w:type="dxa" w:w="1608"/>
          </w:tcPr>
          <w:p>
            <w:r/>
            <w:r>
              <w:rPr>
                <w:sz w:val="18"/>
              </w:rPr>
              <w:t>Transportation</w:t>
            </w:r>
          </w:p>
        </w:tc>
        <w:tc>
          <w:tcPr>
            <w:tcW w:type="dxa" w:w="1608"/>
          </w:tcPr>
          <w:p>
            <w:r/>
            <w:r>
              <w:rPr>
                <w:sz w:val="18"/>
              </w:rPr>
              <w:t>DOT (Transportation)</w:t>
            </w:r>
          </w:p>
        </w:tc>
        <w:tc>
          <w:tcPr>
            <w:tcW w:type="dxa" w:w="1608"/>
          </w:tcPr>
          <w:p>
            <w:pPr>
              <w:jc w:val="right"/>
            </w:pPr>
            <w:r/>
            <w:r>
              <w:rPr>
                <w:sz w:val="18"/>
              </w:rPr>
              <w:t>5,117</w:t>
            </w:r>
          </w:p>
        </w:tc>
        <w:tc>
          <w:tcPr>
            <w:tcW w:type="dxa" w:w="1608"/>
          </w:tcPr>
          <w:p>
            <w:pPr>
              <w:jc w:val="right"/>
            </w:pPr>
            <w:r/>
            <w:r>
              <w:rPr>
                <w:sz w:val="18"/>
              </w:rPr>
              <w:t>355,865</w:t>
            </w:r>
          </w:p>
        </w:tc>
        <w:tc>
          <w:tcPr>
            <w:tcW w:type="dxa" w:w="1608"/>
          </w:tcPr>
          <w:p>
            <w:pPr>
              <w:jc w:val="right"/>
            </w:pPr>
            <w:r/>
            <w:r>
              <w:rPr>
                <w:sz w:val="18"/>
              </w:rPr>
              <w:t>54,288</w:t>
            </w:r>
          </w:p>
        </w:tc>
        <w:tc>
          <w:tcPr>
            <w:tcW w:type="dxa" w:w="1608"/>
          </w:tcPr>
          <w:p>
            <w:pPr>
              <w:jc w:val="right"/>
            </w:pPr>
            <w:r/>
            <w:r>
              <w:rPr>
                <w:sz w:val="18"/>
              </w:rPr>
              <w:t>0.153</w:t>
            </w:r>
          </w:p>
        </w:tc>
      </w:tr>
      <w:tr>
        <w:tc>
          <w:tcPr>
            <w:tcW w:type="dxa" w:w="1608"/>
          </w:tcPr>
          <w:p>
            <w:r/>
            <w:r>
              <w:rPr>
                <w:sz w:val="18"/>
              </w:rPr>
              <w:t>Health Services</w:t>
            </w:r>
          </w:p>
        </w:tc>
        <w:tc>
          <w:tcPr>
            <w:tcW w:type="dxa" w:w="1608"/>
          </w:tcPr>
          <w:p>
            <w:r/>
            <w:r>
              <w:rPr>
                <w:sz w:val="18"/>
              </w:rPr>
              <w:t>DOHMH (Health &amp; Mental Hygiene)</w:t>
            </w:r>
          </w:p>
        </w:tc>
        <w:tc>
          <w:tcPr>
            <w:tcW w:type="dxa" w:w="1608"/>
          </w:tcPr>
          <w:p>
            <w:pPr>
              <w:jc w:val="right"/>
            </w:pPr>
            <w:r/>
            <w:r>
              <w:rPr>
                <w:sz w:val="18"/>
              </w:rPr>
              <w:t>5,355</w:t>
            </w:r>
          </w:p>
        </w:tc>
        <w:tc>
          <w:tcPr>
            <w:tcW w:type="dxa" w:w="1608"/>
          </w:tcPr>
          <w:p>
            <w:pPr>
              <w:jc w:val="right"/>
            </w:pPr>
            <w:r/>
            <w:r>
              <w:rPr>
                <w:sz w:val="18"/>
              </w:rPr>
              <w:t>346,254</w:t>
            </w:r>
          </w:p>
        </w:tc>
        <w:tc>
          <w:tcPr>
            <w:tcW w:type="dxa" w:w="1608"/>
          </w:tcPr>
          <w:p>
            <w:pPr>
              <w:jc w:val="right"/>
            </w:pPr>
            <w:r/>
            <w:r>
              <w:rPr>
                <w:sz w:val="18"/>
              </w:rPr>
              <w:t>67,006</w:t>
            </w:r>
          </w:p>
        </w:tc>
        <w:tc>
          <w:tcPr>
            <w:tcW w:type="dxa" w:w="1608"/>
          </w:tcPr>
          <w:p>
            <w:pPr>
              <w:jc w:val="right"/>
            </w:pPr>
            <w:r/>
            <w:r>
              <w:rPr>
                <w:sz w:val="18"/>
              </w:rPr>
              <w:t>0.194</w:t>
            </w:r>
          </w:p>
        </w:tc>
      </w:tr>
      <w:tr>
        <w:tc>
          <w:tcPr>
            <w:tcW w:type="dxa" w:w="1608"/>
          </w:tcPr>
          <w:p>
            <w:r/>
            <w:r>
              <w:rPr>
                <w:sz w:val="18"/>
              </w:rPr>
              <w:t>Fire Department</w:t>
            </w:r>
          </w:p>
        </w:tc>
        <w:tc>
          <w:tcPr>
            <w:tcW w:type="dxa" w:w="1608"/>
          </w:tcPr>
          <w:p>
            <w:r/>
            <w:r>
              <w:rPr>
                <w:sz w:val="18"/>
              </w:rPr>
              <w:t>FDNY (Fire)</w:t>
            </w:r>
          </w:p>
        </w:tc>
        <w:tc>
          <w:tcPr>
            <w:tcW w:type="dxa" w:w="1608"/>
          </w:tcPr>
          <w:p>
            <w:pPr>
              <w:jc w:val="right"/>
            </w:pPr>
            <w:r/>
            <w:r>
              <w:rPr>
                <w:sz w:val="18"/>
              </w:rPr>
              <w:t>17,016</w:t>
            </w:r>
          </w:p>
        </w:tc>
        <w:tc>
          <w:tcPr>
            <w:tcW w:type="dxa" w:w="1608"/>
          </w:tcPr>
          <w:p>
            <w:pPr>
              <w:jc w:val="right"/>
            </w:pPr>
            <w:r/>
            <w:r>
              <w:rPr>
                <w:sz w:val="18"/>
              </w:rPr>
              <w:t>379,774</w:t>
            </w:r>
          </w:p>
        </w:tc>
        <w:tc>
          <w:tcPr>
            <w:tcW w:type="dxa" w:w="1608"/>
          </w:tcPr>
          <w:p>
            <w:pPr>
              <w:jc w:val="right"/>
            </w:pPr>
            <w:r/>
            <w:r>
              <w:rPr>
                <w:sz w:val="18"/>
              </w:rPr>
              <w:t>80,954</w:t>
            </w:r>
          </w:p>
        </w:tc>
        <w:tc>
          <w:tcPr>
            <w:tcW w:type="dxa" w:w="1608"/>
          </w:tcPr>
          <w:p>
            <w:pPr>
              <w:jc w:val="right"/>
            </w:pPr>
            <w:r/>
            <w:r>
              <w:rPr>
                <w:sz w:val="18"/>
              </w:rPr>
              <w:t>0.213</w:t>
            </w:r>
          </w:p>
        </w:tc>
      </w:tr>
    </w:tbl>
    <w:p>
      <w:pPr>
        <w:spacing w:after="120"/>
      </w:pPr>
      <w:r>
        <w:rPr>
          <w:b w:val="0"/>
          <w:i/>
          <w:sz w:val="17"/>
        </w:rPr>
        <w:t>Table 2. FY2024 expense budgets (NYC) vs. FY2024 payroll+OT per filled employee (Greenfield). NYC personal-services budgets include pension, fringe, and NYC wage scales, so the ratio is a relative sizing indicator only - but the ranking is instructive: Greenfield's cost structure mirrors NYC's, with Fire the most expensive per employee (21.3%% of the FDNY analog) and Parks the leanest.</w:t>
      </w:r>
    </w:p>
    <w:p>
      <w:pPr>
        <w:pStyle w:val="Heading2"/>
      </w:pPr>
      <w:r>
        <w:rPr>
          <w:rFonts w:ascii="Calibri" w:hAnsi="Calibri"/>
          <w:color w:val="1F3864"/>
        </w:rPr>
        <w:t>3.2 Even a best-in-class system misses service targets</w:t>
      </w:r>
    </w:p>
    <w:p>
      <w:pPr>
        <w:spacing w:after="120"/>
      </w:pPr>
      <w:r>
        <w:rPr>
          <w:b w:val="0"/>
          <w:i w:val="0"/>
          <w:sz w:val="21"/>
        </w:rPr>
        <w:t>The MMR's latest cycle shows DOT closing 100% of potholes within 30 days against a 98% target (meets), DOHMH responding to birth-certificate requests in 2.6 days against a 3.0-day target (meets) - while FDNY misses both response-time targets (structural fires 4:22 vs. 4:08 target; life-threatening EMS 9:19 vs. 6:33). MMR time values are reported in minutes with decimal seconds. The lesson: service-level slippage in emergency-adjacent functions is a national pattern, so Greenfield's 59.6% on-time plan review and slow field processes should be treated as fixable operating problems, not evidence of structural failure.</w:t>
      </w:r>
    </w:p>
    <w:p>
      <w:pPr>
        <w:pStyle w:val="Heading2"/>
      </w:pPr>
      <w:r>
        <w:rPr>
          <w:rFonts w:ascii="Calibri" w:hAnsi="Calibri"/>
          <w:color w:val="1F3864"/>
        </w:rPr>
        <w:t>3.3 The Comptroller's findings describe Greenfield's problem almost exactly</w:t>
      </w:r>
    </w:p>
    <w:p>
      <w:pPr>
        <w:pStyle w:val="ListBullet"/>
        <w:spacing w:after="60"/>
      </w:pPr>
      <w:r>
        <w:rPr>
          <w:b/>
        </w:rPr>
        <w:t xml:space="preserve">Vacancy is structural, not episodic - </w:t>
      </w:r>
      <w:r>
        <w:t>citywide vacancy was 5.1% in January 2024, down from the 8.4% December 2022 peak but far above the ~2% pre-pandemic norm; excluding schools and CUNY it is 4.6%. Greenfield's 9.06% sits at the same stress level. Greenfield is not an outlier; it is living through the same post-2020 workforce shock.</w:t>
      </w:r>
    </w:p>
    <w:p>
      <w:pPr>
        <w:pStyle w:val="ListBullet"/>
        <w:spacing w:after="60"/>
      </w:pPr>
      <w:r>
        <w:rPr>
          <w:b/>
        </w:rPr>
        <w:t xml:space="preserve">Overtime substitutes for vacancies - </w:t>
      </w:r>
      <w:r>
        <w:t>overtime reached $1,812,800,000 in FY2024 (1.8128B), up from $1,113,100,000 in FY2021, and rose from 7.0% to 10.8% of payroll. Overtime is substituting for vacant positions - precisely Greenfield's Fire Department pattern (14.57% OT, 3.5% vacancy).</w:t>
      </w:r>
    </w:p>
    <w:p>
      <w:pPr>
        <w:pStyle w:val="ListBullet"/>
        <w:spacing w:after="60"/>
      </w:pPr>
      <w:r>
        <w:rPr>
          <w:b/>
        </w:rPr>
        <w:t xml:space="preserve">Uniformed/frontline functions concentrate OT - </w:t>
      </w:r>
      <w:r>
        <w:t>FDNY fire extinguishment consumed 40.3% of departmental OT ($323,400,000), up from 28.9%; DSNY building cleaning OT share rose to 33.6%. Frontline response functions absorb vacancy pressure as overtime - arguing for OT-specific tools (caps, cross-training) rather than governance mergers.</w:t>
      </w:r>
    </w:p>
    <w:p>
      <w:pPr>
        <w:pStyle w:val="ListBullet"/>
        <w:spacing w:after="60"/>
      </w:pPr>
      <w:r>
        <w:rPr>
          <w:b/>
        </w:rPr>
        <w:t xml:space="preserve">Hiring machinery is slow - </w:t>
      </w:r>
      <w:r>
        <w:t>FDNY attrition runs 52% above pre-pandemic levels, and civil-service exam turnaround, while improving (318 to 219 to 169 days, FY21-FY24), still measures hiring in months. Any Greenfield plan that assumes rapid hiring must budget for a dedicated recruitment function - as Proposal B does.</w:t>
      </w:r>
    </w:p>
    <w:p>
      <w:pPr>
        <w:pStyle w:val="ListBullet"/>
        <w:spacing w:after="60"/>
      </w:pPr>
      <w:r>
        <w:rPr>
          <w:b/>
        </w:rPr>
        <w:t xml:space="preserve">The pattern is sector-specific - </w:t>
      </w:r>
      <w:r>
        <w:t>program-area vacancy rose from 6.7% to 10.0% in Transportation and 8.6% to 9.3% in Health, while Parks stayed low (1.3% to 1.8%) and DSNY/FDNY uniformed vacancies sit near zero. The same departments that are hard to staff nationally are the ones failing Greenfield's 12% trigger.</w:t>
      </w:r>
    </w:p>
    <w:p>
      <w:pPr>
        <w:spacing w:after="120"/>
      </w:pPr>
      <w:r>
        <w:rPr>
          <w:b w:val="0"/>
          <w:i w:val="0"/>
          <w:sz w:val="21"/>
        </w:rPr>
        <w:t>Benchmark conclusion: Greenfield's problem profile (double-digit vacancy in Transportation and Health, overtime-concentrated Fire, slow field processes) matches NYC's documented post-pandemic pattern. That supports interventions aimed at vacancies and overtime specifically - and cautions against organizational surgery whose benefits NYC's own data cannot confirm.</w:t>
      </w:r>
    </w:p>
    <w:p>
      <w:pPr>
        <w:pStyle w:val="Heading1"/>
      </w:pPr>
      <w:r>
        <w:rPr>
          <w:rFonts w:ascii="Calibri" w:hAnsi="Calibri"/>
          <w:color w:val="1F3864"/>
        </w:rPr>
        <w:t>4. Proposal A - "Consolidate": Evaluation</w:t>
      </w:r>
    </w:p>
    <w:p>
      <w:pPr>
        <w:spacing w:after="120"/>
      </w:pPr>
      <w:r>
        <w:rPr>
          <w:b w:val="0"/>
          <w:i w:val="0"/>
          <w:sz w:val="21"/>
        </w:rPr>
        <w:t>Proposal A merges Health Services and Parks &amp; Recreation into a Department of Community Wellness, and Transportation and Sanitation into a Department of Public Works; the Fire Department remains standalone. Headcount becomes three entities: Community Wellness 177 authorized / 166 filled (6.2% vacancy), Public Works 267 authorized / 249 filled (6.7% vacancy), Fire 142 authorized / 137 filled (3.5% vacancy).</w:t>
      </w:r>
    </w:p>
    <w:p>
      <w:pPr>
        <w:pStyle w:val="Heading2"/>
      </w:pPr>
      <w:r>
        <w:rPr>
          <w:rFonts w:ascii="Calibri" w:hAnsi="Calibri"/>
          <w:color w:val="1F3864"/>
        </w:rPr>
        <w:t>4.1 Process bottlenecks addressed</w:t>
      </w:r>
    </w:p>
    <w:p>
      <w:pPr>
        <w:spacing w:after="120"/>
      </w:pPr>
      <w:r>
        <w:rPr>
          <w:b w:val="0"/>
          <w:i w:val="0"/>
          <w:sz w:val="21"/>
        </w:rPr>
        <w:t>The merger's service logic is strongest where field processes fail together: Public Works would own the four failing Transportation/Sanitation field processes (Street Resurfacing 48.3% on-time, Illegal Dumping 54.2%, Bulk Pickup 58.1%, Sidewalk Repair 61.7%) and could pool crews, routing, and dispatch. Community Wellness pairs Environmental Complaint Investigation (64.1%) with Tree Removal (62.4%) and Playground Inspection (78.2%), enabling a shared inspection workforce.</w:t>
      </w:r>
    </w:p>
    <w:p>
      <w:pPr>
        <w:pStyle w:val="Heading2"/>
      </w:pPr>
      <w:r>
        <w:rPr>
          <w:rFonts w:ascii="Calibri" w:hAnsi="Calibri"/>
          <w:color w:val="1F3864"/>
        </w:rPr>
        <w:t>4.2 Overtime cost structure</w:t>
      </w:r>
    </w:p>
    <w:p>
      <w:pPr>
        <w:spacing w:after="120"/>
      </w:pPr>
      <w:r>
        <w:rPr>
          <w:b w:val="0"/>
          <w:i w:val="0"/>
          <w:sz w:val="21"/>
        </w:rPr>
        <w:t>Proposal A models OT savings of $355,906.25: a 20% reduction on Public Works' combined $1,289,856.25 base ($257,971.25) and 10% on Community Wellness' $979,350.00 base ($97,935.00). Critically, the Fire Department - the city's largest OT cost center at $2,085,312.00 - is excluded from the merger and its overtime is untouched.</w:t>
      </w:r>
    </w:p>
    <w:p>
      <w:pPr>
        <w:pStyle w:val="Heading2"/>
      </w:pPr>
      <w:r>
        <w:rPr>
          <w:rFonts w:ascii="Calibri" w:hAnsi="Calibri"/>
          <w:color w:val="1F3864"/>
        </w:rPr>
        <w:t>4.3 Financial model</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1F3864"/>
          </w:tcPr>
          <w:p>
            <w:r/>
            <w:r>
              <w:rPr>
                <w:b/>
                <w:color w:val="FFFFFF"/>
                <w:sz w:val="18"/>
              </w:rPr>
              <w:t>Component</w:t>
            </w:r>
          </w:p>
        </w:tc>
        <w:tc>
          <w:tcPr>
            <w:tcW w:type="dxa" w:w="3216"/>
            <w:shd w:val="clear" w:fill="1F3864"/>
          </w:tcPr>
          <w:p>
            <w:r/>
            <w:r>
              <w:rPr>
                <w:b/>
                <w:color w:val="FFFFFF"/>
                <w:sz w:val="18"/>
              </w:rPr>
              <w:t>Basis</w:t>
            </w:r>
          </w:p>
        </w:tc>
        <w:tc>
          <w:tcPr>
            <w:tcW w:type="dxa" w:w="3216"/>
            <w:shd w:val="clear" w:fill="1F3864"/>
          </w:tcPr>
          <w:p>
            <w:r/>
            <w:r>
              <w:rPr>
                <w:b/>
                <w:color w:val="FFFFFF"/>
                <w:sz w:val="18"/>
              </w:rPr>
              <w:t>Annual value</w:t>
            </w:r>
          </w:p>
        </w:tc>
      </w:tr>
      <w:tr>
        <w:tc>
          <w:tcPr>
            <w:tcW w:type="dxa" w:w="3216"/>
          </w:tcPr>
          <w:p>
            <w:r/>
            <w:r>
              <w:rPr>
                <w:sz w:val="18"/>
              </w:rPr>
              <w:t>OT consolidation savings</w:t>
            </w:r>
          </w:p>
        </w:tc>
        <w:tc>
          <w:tcPr>
            <w:tcW w:type="dxa" w:w="3216"/>
          </w:tcPr>
          <w:p>
            <w:r/>
            <w:r>
              <w:rPr>
                <w:sz w:val="18"/>
              </w:rPr>
              <w:t>10% CW + 20% PW of FY2024 OT cost</w:t>
            </w:r>
          </w:p>
        </w:tc>
        <w:tc>
          <w:tcPr>
            <w:tcW w:type="dxa" w:w="3216"/>
          </w:tcPr>
          <w:p>
            <w:pPr>
              <w:jc w:val="right"/>
            </w:pPr>
            <w:r/>
            <w:r>
              <w:rPr>
                <w:sz w:val="18"/>
              </w:rPr>
              <w:t>$355,906.25</w:t>
            </w:r>
          </w:p>
        </w:tc>
      </w:tr>
      <w:tr>
        <w:tc>
          <w:tcPr>
            <w:tcW w:type="dxa" w:w="3216"/>
          </w:tcPr>
          <w:p>
            <w:r/>
            <w:r>
              <w:rPr>
                <w:sz w:val="18"/>
              </w:rPr>
              <w:t>Administrative elimination</w:t>
            </w:r>
          </w:p>
        </w:tc>
        <w:tc>
          <w:tcPr>
            <w:tcW w:type="dxa" w:w="3216"/>
          </w:tcPr>
          <w:p>
            <w:r/>
            <w:r>
              <w:rPr>
                <w:sz w:val="18"/>
              </w:rPr>
              <w:t>9 positions (2.0% of merged authorized) via attrition, $48,002 avg salary x 1.35 loaded</w:t>
            </w:r>
          </w:p>
        </w:tc>
        <w:tc>
          <w:tcPr>
            <w:tcW w:type="dxa" w:w="3216"/>
          </w:tcPr>
          <w:p>
            <w:pPr>
              <w:jc w:val="right"/>
            </w:pPr>
            <w:r/>
            <w:r>
              <w:rPr>
                <w:sz w:val="18"/>
              </w:rPr>
              <w:t>$583,225.28</w:t>
            </w:r>
          </w:p>
        </w:tc>
      </w:tr>
      <w:tr>
        <w:tc>
          <w:tcPr>
            <w:tcW w:type="dxa" w:w="3216"/>
          </w:tcPr>
          <w:p>
            <w:r/>
            <w:r>
              <w:rPr>
                <w:sz w:val="18"/>
              </w:rPr>
              <w:t>Shared fleet &amp; procurement (OTPS)</w:t>
            </w:r>
          </w:p>
        </w:tc>
        <w:tc>
          <w:tcPr>
            <w:tcW w:type="dxa" w:w="3216"/>
          </w:tcPr>
          <w:p>
            <w:r/>
            <w:r>
              <w:rPr>
                <w:sz w:val="18"/>
              </w:rPr>
              <w:t>Common maintenance bays, bulk fuel/parts contracts, pooled spares</w:t>
            </w:r>
          </w:p>
        </w:tc>
        <w:tc>
          <w:tcPr>
            <w:tcW w:type="dxa" w:w="3216"/>
          </w:tcPr>
          <w:p>
            <w:pPr>
              <w:jc w:val="right"/>
            </w:pPr>
            <w:r/>
            <w:r>
              <w:rPr>
                <w:sz w:val="18"/>
              </w:rPr>
              <w:t>$150,000</w:t>
            </w:r>
          </w:p>
        </w:tc>
      </w:tr>
      <w:tr>
        <w:tc>
          <w:tcPr>
            <w:tcW w:type="dxa" w:w="3216"/>
          </w:tcPr>
          <w:p>
            <w:r/>
            <w:r>
              <w:rPr>
                <w:sz w:val="18"/>
              </w:rPr>
              <w:t>Steady-state annual savings</w:t>
            </w:r>
          </w:p>
        </w:tc>
        <w:tc>
          <w:tcPr>
            <w:tcW w:type="dxa" w:w="3216"/>
          </w:tcPr>
          <w:p>
            <w:r/>
            <w:r>
              <w:rPr>
                <w:sz w:val="18"/>
              </w:rPr>
              <w:t>Sum of above</w:t>
            </w:r>
          </w:p>
        </w:tc>
        <w:tc>
          <w:tcPr>
            <w:tcW w:type="dxa" w:w="3216"/>
          </w:tcPr>
          <w:p>
            <w:pPr>
              <w:jc w:val="right"/>
            </w:pPr>
            <w:r/>
            <w:r>
              <w:rPr>
                <w:sz w:val="18"/>
              </w:rPr>
              <w:t>$1,089,131.53</w:t>
            </w:r>
          </w:p>
        </w:tc>
      </w:tr>
      <w:tr>
        <w:tc>
          <w:tcPr>
            <w:tcW w:type="dxa" w:w="3216"/>
          </w:tcPr>
          <w:p>
            <w:r/>
            <w:r>
              <w:rPr>
                <w:sz w:val="18"/>
              </w:rPr>
              <w:t>One-time transition cost</w:t>
            </w:r>
          </w:p>
        </w:tc>
        <w:tc>
          <w:tcPr>
            <w:tcW w:type="dxa" w:w="3216"/>
          </w:tcPr>
          <w:p>
            <w:r/>
            <w:r>
              <w:rPr>
                <w:sz w:val="18"/>
              </w:rPr>
              <w:t>MOU/labor relations $250K; HRIS/payroll integration $300K; fleet logistics $120K; transition team $80K</w:t>
            </w:r>
          </w:p>
        </w:tc>
        <w:tc>
          <w:tcPr>
            <w:tcW w:type="dxa" w:w="3216"/>
          </w:tcPr>
          <w:p>
            <w:pPr>
              <w:jc w:val="right"/>
            </w:pPr>
            <w:r/>
            <w:r>
              <w:rPr>
                <w:sz w:val="18"/>
              </w:rPr>
              <w:t>($750,000)</w:t>
            </w:r>
          </w:p>
        </w:tc>
      </w:tr>
      <w:tr>
        <w:tc>
          <w:tcPr>
            <w:tcW w:type="dxa" w:w="3216"/>
          </w:tcPr>
          <w:p>
            <w:r/>
            <w:r>
              <w:rPr>
                <w:sz w:val="18"/>
              </w:rPr>
              <w:t>Year 1 net (50% realization)</w:t>
            </w:r>
          </w:p>
        </w:tc>
        <w:tc>
          <w:tcPr>
            <w:tcW w:type="dxa" w:w="3216"/>
          </w:tcPr>
          <w:p>
            <w:r/>
            <w:r>
              <w:rPr>
                <w:sz w:val="18"/>
              </w:rPr>
              <w:t>Transition year</w:t>
            </w:r>
          </w:p>
        </w:tc>
        <w:tc>
          <w:tcPr>
            <w:tcW w:type="dxa" w:w="3216"/>
          </w:tcPr>
          <w:p>
            <w:pPr>
              <w:jc w:val="right"/>
            </w:pPr>
            <w:r/>
            <w:r>
              <w:rPr>
                <w:sz w:val="18"/>
              </w:rPr>
              <w:t>$-205,434.24</w:t>
            </w:r>
          </w:p>
        </w:tc>
      </w:tr>
      <w:tr>
        <w:tc>
          <w:tcPr>
            <w:tcW w:type="dxa" w:w="3216"/>
          </w:tcPr>
          <w:p>
            <w:r/>
            <w:r>
              <w:rPr>
                <w:sz w:val="18"/>
              </w:rPr>
              <w:t>Year 2-3 net (100%)</w:t>
            </w:r>
          </w:p>
        </w:tc>
        <w:tc>
          <w:tcPr>
            <w:tcW w:type="dxa" w:w="3216"/>
          </w:tcPr>
          <w:p>
            <w:r/>
            <w:r>
              <w:rPr>
                <w:sz w:val="18"/>
              </w:rPr>
              <w:t>Steady state</w:t>
            </w:r>
          </w:p>
        </w:tc>
        <w:tc>
          <w:tcPr>
            <w:tcW w:type="dxa" w:w="3216"/>
          </w:tcPr>
          <w:p>
            <w:pPr>
              <w:jc w:val="right"/>
            </w:pPr>
            <w:r/>
            <w:r>
              <w:rPr>
                <w:sz w:val="18"/>
              </w:rPr>
              <w:t>$1,089,131.53/yr</w:t>
            </w:r>
          </w:p>
        </w:tc>
      </w:tr>
      <w:tr>
        <w:tc>
          <w:tcPr>
            <w:tcW w:type="dxa" w:w="3216"/>
          </w:tcPr>
          <w:p>
            <w:r/>
            <w:r>
              <w:rPr>
                <w:sz w:val="18"/>
              </w:rPr>
              <w:t>3-year cumulative net</w:t>
            </w:r>
          </w:p>
        </w:tc>
        <w:tc>
          <w:tcPr>
            <w:tcW w:type="dxa" w:w="3216"/>
          </w:tcPr>
          <w:p>
            <w:r/>
            <w:r>
              <w:rPr>
                <w:sz w:val="18"/>
              </w:rPr>
            </w:r>
          </w:p>
        </w:tc>
        <w:tc>
          <w:tcPr>
            <w:tcW w:type="dxa" w:w="3216"/>
          </w:tcPr>
          <w:p>
            <w:pPr>
              <w:jc w:val="right"/>
            </w:pPr>
            <w:r/>
            <w:r>
              <w:rPr>
                <w:sz w:val="18"/>
              </w:rPr>
              <w:t>$1,972,828.82</w:t>
            </w:r>
          </w:p>
        </w:tc>
      </w:tr>
    </w:tbl>
    <w:p>
      <w:pPr>
        <w:spacing w:after="120"/>
      </w:pPr>
      <w:r>
        <w:rPr>
          <w:b w:val="0"/>
          <w:i/>
          <w:sz w:val="17"/>
        </w:rPr>
        <w:t>Table 3. Proposal A fiscal model. Full assumptions: Workbook, "Proposal A Model" tab (A1-A8).</w:t>
      </w:r>
    </w:p>
    <w:p>
      <w:pPr>
        <w:pStyle w:val="Heading2"/>
      </w:pPr>
      <w:r>
        <w:rPr>
          <w:rFonts w:ascii="Calibri" w:hAnsi="Calibri"/>
          <w:color w:val="1F3864"/>
        </w:rPr>
        <w:t>4.4 SLA risk, workforce feasibility, verdict</w:t>
      </w:r>
    </w:p>
    <w:p>
      <w:pPr>
        <w:spacing w:after="120"/>
      </w:pPr>
      <w:r>
        <w:rPr>
          <w:b w:val="0"/>
          <w:i w:val="0"/>
          <w:sz w:val="21"/>
        </w:rPr>
        <w:t>Modeled service gains average +6.2pp on-time across 8 targeted processes, with 5 reaching the 65% standard; cycle-time improvements are proportional (e.g., Street Resurfacing 45.2 to 39.0 days). But the model must be read against a 24-month implementation: dispatch consolidation, CBA renegotiation, and HRIS cutover all occur before savings appear. Workforce feasibility is the binding constraint: 24 FTEs are reallocated (9 admin positions eliminated strictly via attrition, 15 field FTEs flexibly deployed), and merger-scale labor agreements carry real delay risk. Verdict: Proposal A offers the largest steady-state savings but a negative first year, the highest complexity (4/5) and risk (4/5), leaves Fire overtime untouched, and its OT-savings premise (20% from merged routing) is the least-supported number in either proposal.</w:t>
      </w:r>
    </w:p>
    <w:p>
      <w:pPr>
        <w:pStyle w:val="Heading1"/>
      </w:pPr>
      <w:r>
        <w:rPr>
          <w:rFonts w:ascii="Calibri" w:hAnsi="Calibri"/>
          <w:color w:val="1F3864"/>
        </w:rPr>
        <w:t>5. Proposal B - "Targeted Fix": Evaluation</w:t>
      </w:r>
    </w:p>
    <w:p>
      <w:pPr>
        <w:spacing w:after="120"/>
      </w:pPr>
      <w:r>
        <w:rPr>
          <w:b w:val="0"/>
          <w:i w:val="0"/>
          <w:sz w:val="21"/>
        </w:rPr>
        <w:t>Proposal B keeps all five departments and activates three interventions, each tied to an objective trigger.</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1F3864"/>
          </w:tcPr>
          <w:p>
            <w:r/>
            <w:r>
              <w:rPr>
                <w:b/>
                <w:color w:val="FFFFFF"/>
                <w:sz w:val="18"/>
              </w:rPr>
              <w:t>Intervention</w:t>
            </w:r>
          </w:p>
        </w:tc>
        <w:tc>
          <w:tcPr>
            <w:tcW w:type="dxa" w:w="2412"/>
            <w:shd w:val="clear" w:fill="1F3864"/>
          </w:tcPr>
          <w:p>
            <w:r/>
            <w:r>
              <w:rPr>
                <w:b/>
                <w:color w:val="FFFFFF"/>
                <w:sz w:val="18"/>
              </w:rPr>
              <w:t>Trigger</w:t>
            </w:r>
          </w:p>
        </w:tc>
        <w:tc>
          <w:tcPr>
            <w:tcW w:type="dxa" w:w="2412"/>
            <w:shd w:val="clear" w:fill="1F3864"/>
          </w:tcPr>
          <w:p>
            <w:r/>
            <w:r>
              <w:rPr>
                <w:b/>
                <w:color w:val="FFFFFF"/>
                <w:sz w:val="18"/>
              </w:rPr>
              <w:t>Triggered units</w:t>
            </w:r>
          </w:p>
        </w:tc>
        <w:tc>
          <w:tcPr>
            <w:tcW w:type="dxa" w:w="2412"/>
            <w:shd w:val="clear" w:fill="1F3864"/>
          </w:tcPr>
          <w:p>
            <w:r/>
            <w:r>
              <w:rPr>
                <w:b/>
                <w:color w:val="FFFFFF"/>
                <w:sz w:val="18"/>
              </w:rPr>
              <w:t>Design</w:t>
            </w:r>
          </w:p>
        </w:tc>
      </w:tr>
      <w:tr>
        <w:tc>
          <w:tcPr>
            <w:tcW w:type="dxa" w:w="2412"/>
          </w:tcPr>
          <w:p>
            <w:r/>
            <w:r>
              <w:rPr>
                <w:sz w:val="18"/>
              </w:rPr>
              <w:t>Shared OT budgets / OT cap</w:t>
            </w:r>
          </w:p>
        </w:tc>
        <w:tc>
          <w:tcPr>
            <w:tcW w:type="dxa" w:w="2412"/>
          </w:tcPr>
          <w:p>
            <w:r/>
            <w:r>
              <w:rPr>
                <w:sz w:val="18"/>
              </w:rPr>
              <w:t>Department OT &gt;10% of regular hours</w:t>
            </w:r>
          </w:p>
        </w:tc>
        <w:tc>
          <w:tcPr>
            <w:tcW w:type="dxa" w:w="2412"/>
          </w:tcPr>
          <w:p>
            <w:r/>
            <w:r>
              <w:rPr>
                <w:sz w:val="18"/>
              </w:rPr>
              <w:t>Fire Department (14.57%, 12 of 12 months). Sanitation (9.79%, 5 months) placed on watch list</w:t>
            </w:r>
          </w:p>
        </w:tc>
        <w:tc>
          <w:tcPr>
            <w:tcW w:type="dxa" w:w="2412"/>
          </w:tcPr>
          <w:p>
            <w:r/>
            <w:r>
              <w:rPr>
                <w:sz w:val="18"/>
              </w:rPr>
              <w:t>Cap Fire OT at 13% of regular hours; joint budget review</w:t>
            </w:r>
          </w:p>
        </w:tc>
      </w:tr>
      <w:tr>
        <w:tc>
          <w:tcPr>
            <w:tcW w:type="dxa" w:w="2412"/>
          </w:tcPr>
          <w:p>
            <w:r/>
            <w:r>
              <w:rPr>
                <w:sz w:val="18"/>
              </w:rPr>
              <w:t>Centralized hiring</w:t>
            </w:r>
          </w:p>
        </w:tc>
        <w:tc>
          <w:tcPr>
            <w:tcW w:type="dxa" w:w="2412"/>
          </w:tcPr>
          <w:p>
            <w:r/>
            <w:r>
              <w:rPr>
                <w:sz w:val="18"/>
              </w:rPr>
              <w:t>Division vacancy &gt;12%</w:t>
            </w:r>
          </w:p>
        </w:tc>
        <w:tc>
          <w:tcPr>
            <w:tcW w:type="dxa" w:w="2412"/>
          </w:tcPr>
          <w:p>
            <w:r/>
            <w:r>
              <w:rPr>
                <w:sz w:val="18"/>
              </w:rPr>
              <w:t>8 divisions (all 4 Transportation, all 4 Health Services); 36 vacancies</w:t>
            </w:r>
          </w:p>
        </w:tc>
        <w:tc>
          <w:tcPr>
            <w:tcW w:type="dxa" w:w="2412"/>
          </w:tcPr>
          <w:p>
            <w:r/>
            <w:r>
              <w:rPr>
                <w:sz w:val="18"/>
              </w:rPr>
              <w:t>Central recruitment team + vacancy dashboard; 22 of 36 filled in Year 1</w:t>
            </w:r>
          </w:p>
        </w:tc>
      </w:tr>
      <w:tr>
        <w:tc>
          <w:tcPr>
            <w:tcW w:type="dxa" w:w="2412"/>
          </w:tcPr>
          <w:p>
            <w:r/>
            <w:r>
              <w:rPr>
                <w:sz w:val="18"/>
              </w:rPr>
              <w:t>Cross-training pools</w:t>
            </w:r>
          </w:p>
        </w:tc>
        <w:tc>
          <w:tcPr>
            <w:tcW w:type="dxa" w:w="2412"/>
          </w:tcPr>
          <w:p>
            <w:r/>
            <w:r>
              <w:rPr>
                <w:sz w:val="18"/>
              </w:rPr>
              <w:t>Departments with shared surge processes</w:t>
            </w:r>
          </w:p>
        </w:tc>
        <w:tc>
          <w:tcPr>
            <w:tcW w:type="dxa" w:w="2412"/>
          </w:tcPr>
          <w:p>
            <w:r/>
            <w:r>
              <w:rPr>
                <w:sz w:val="18"/>
              </w:rPr>
              <w:t>3 pools, 45 members (Field Ops 24; Inspection &amp; Public Health 12; Fleet &amp; Facilities 9)</w:t>
            </w:r>
          </w:p>
        </w:tc>
        <w:tc>
          <w:tcPr>
            <w:tcW w:type="dxa" w:w="2412"/>
          </w:tcPr>
          <w:p>
            <w:r/>
            <w:r>
              <w:rPr>
                <w:sz w:val="18"/>
              </w:rPr>
              <w:t>40 hours initial training; annual refresh</w:t>
            </w:r>
          </w:p>
        </w:tc>
      </w:tr>
    </w:tbl>
    <w:p>
      <w:pPr>
        <w:spacing w:after="120"/>
      </w:pPr>
      <w:r>
        <w:rPr>
          <w:b w:val="0"/>
          <w:i/>
          <w:sz w:val="17"/>
        </w:rPr>
        <w:t>Table 4. Proposal B trigger map. Detail: Workbook, "Proposal B Model" tab.</w:t>
      </w:r>
    </w:p>
    <w:p>
      <w:pPr>
        <w:pStyle w:val="Heading2"/>
      </w:pPr>
      <w:r>
        <w:rPr>
          <w:rFonts w:ascii="Calibri" w:hAnsi="Calibri"/>
          <w:color w:val="1F3864"/>
        </w:rPr>
        <w:t>5.1 Overtime cost structure</w:t>
      </w:r>
    </w:p>
    <w:p>
      <w:pPr>
        <w:spacing w:after="120"/>
      </w:pPr>
      <w:r>
        <w:rPr>
          <w:b w:val="0"/>
          <w:i w:val="0"/>
          <w:sz w:val="21"/>
        </w:rPr>
        <w:t>The OT cap removes 4,670 excess Fire overtime hours (FY2024 OT of 43,444 hours against a 13% cap of 38,773 hours on 298,260 regular hours), a 10.7% cut priced at the blended rate of $48.00/hour: $224,160.00 annually. Centralized hiring attacks the vacancy-driven share of OT (assumed 25%) in the two triggering departments: $178,539.08 in Year 1 (22 fills) rising to $292,092.31 once all 36 vacancies are filled.</w:t>
      </w:r>
    </w:p>
    <w:p>
      <w:pPr>
        <w:pStyle w:val="Heading2"/>
      </w:pPr>
      <w:r>
        <w:rPr>
          <w:rFonts w:ascii="Calibri" w:hAnsi="Calibri"/>
          <w:color w:val="1F3864"/>
        </w:rPr>
        <w:t>5.2 Financial model</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1F3864"/>
          </w:tcPr>
          <w:p>
            <w:r/>
            <w:r>
              <w:rPr>
                <w:b/>
                <w:color w:val="FFFFFF"/>
                <w:sz w:val="18"/>
              </w:rPr>
              <w:t>Component</w:t>
            </w:r>
          </w:p>
        </w:tc>
        <w:tc>
          <w:tcPr>
            <w:tcW w:type="dxa" w:w="3216"/>
            <w:shd w:val="clear" w:fill="1F3864"/>
          </w:tcPr>
          <w:p>
            <w:r/>
            <w:r>
              <w:rPr>
                <w:b/>
                <w:color w:val="FFFFFF"/>
                <w:sz w:val="18"/>
              </w:rPr>
              <w:t>Basis</w:t>
            </w:r>
          </w:p>
        </w:tc>
        <w:tc>
          <w:tcPr>
            <w:tcW w:type="dxa" w:w="3216"/>
            <w:shd w:val="clear" w:fill="1F3864"/>
          </w:tcPr>
          <w:p>
            <w:r/>
            <w:r>
              <w:rPr>
                <w:b/>
                <w:color w:val="FFFFFF"/>
                <w:sz w:val="18"/>
              </w:rPr>
              <w:t>Value</w:t>
            </w:r>
          </w:p>
        </w:tc>
      </w:tr>
      <w:tr>
        <w:tc>
          <w:tcPr>
            <w:tcW w:type="dxa" w:w="3216"/>
          </w:tcPr>
          <w:p>
            <w:r/>
            <w:r>
              <w:rPr>
                <w:sz w:val="18"/>
              </w:rPr>
              <w:t>Fire OT cap savings</w:t>
            </w:r>
          </w:p>
        </w:tc>
        <w:tc>
          <w:tcPr>
            <w:tcW w:type="dxa" w:w="3216"/>
          </w:tcPr>
          <w:p>
            <w:r/>
            <w:r>
              <w:rPr>
                <w:sz w:val="18"/>
              </w:rPr>
              <w:t>4,670 hours x $48.00 blended rate</w:t>
            </w:r>
          </w:p>
        </w:tc>
        <w:tc>
          <w:tcPr>
            <w:tcW w:type="dxa" w:w="3216"/>
          </w:tcPr>
          <w:p>
            <w:pPr>
              <w:jc w:val="right"/>
            </w:pPr>
            <w:r/>
            <w:r>
              <w:rPr>
                <w:sz w:val="18"/>
              </w:rPr>
              <w:t>$224,160.00</w:t>
            </w:r>
          </w:p>
        </w:tc>
      </w:tr>
      <w:tr>
        <w:tc>
          <w:tcPr>
            <w:tcW w:type="dxa" w:w="3216"/>
          </w:tcPr>
          <w:p>
            <w:r/>
            <w:r>
              <w:rPr>
                <w:sz w:val="18"/>
              </w:rPr>
              <w:t>Vacancy-driven OT savings</w:t>
            </w:r>
          </w:p>
        </w:tc>
        <w:tc>
          <w:tcPr>
            <w:tcW w:type="dxa" w:w="3216"/>
          </w:tcPr>
          <w:p>
            <w:r/>
            <w:r>
              <w:rPr>
                <w:sz w:val="18"/>
              </w:rPr>
              <w:t>25% backfill share; Transportation + Health Services</w:t>
            </w:r>
          </w:p>
        </w:tc>
        <w:tc>
          <w:tcPr>
            <w:tcW w:type="dxa" w:w="3216"/>
          </w:tcPr>
          <w:p>
            <w:pPr>
              <w:jc w:val="right"/>
            </w:pPr>
            <w:r/>
            <w:r>
              <w:rPr>
                <w:sz w:val="18"/>
              </w:rPr>
              <w:t>$178,539.08 Y1; $292,092.31 Y2+</w:t>
            </w:r>
          </w:p>
        </w:tc>
      </w:tr>
      <w:tr>
        <w:tc>
          <w:tcPr>
            <w:tcW w:type="dxa" w:w="3216"/>
          </w:tcPr>
          <w:p>
            <w:r/>
            <w:r>
              <w:rPr>
                <w:sz w:val="18"/>
              </w:rPr>
              <w:t>Steady-state annual savings</w:t>
            </w:r>
          </w:p>
        </w:tc>
        <w:tc>
          <w:tcPr>
            <w:tcW w:type="dxa" w:w="3216"/>
          </w:tcPr>
          <w:p>
            <w:r/>
            <w:r>
              <w:rPr>
                <w:sz w:val="18"/>
              </w:rPr>
              <w:t>Cap + fully realized vacancy savings</w:t>
            </w:r>
          </w:p>
        </w:tc>
        <w:tc>
          <w:tcPr>
            <w:tcW w:type="dxa" w:w="3216"/>
          </w:tcPr>
          <w:p>
            <w:pPr>
              <w:jc w:val="right"/>
            </w:pPr>
            <w:r/>
            <w:r>
              <w:rPr>
                <w:sz w:val="18"/>
              </w:rPr>
              <w:t>$516,252.31</w:t>
            </w:r>
          </w:p>
        </w:tc>
      </w:tr>
      <w:tr>
        <w:tc>
          <w:tcPr>
            <w:tcW w:type="dxa" w:w="3216"/>
          </w:tcPr>
          <w:p>
            <w:r/>
            <w:r>
              <w:rPr>
                <w:sz w:val="18"/>
              </w:rPr>
              <w:t>Program costs</w:t>
            </w:r>
          </w:p>
        </w:tc>
        <w:tc>
          <w:tcPr>
            <w:tcW w:type="dxa" w:w="3216"/>
          </w:tcPr>
          <w:p>
            <w:r/>
            <w:r>
              <w:rPr>
                <w:sz w:val="18"/>
              </w:rPr>
              <w:t>Hiring team 3 FTE $234,900/yr; training refresh $15,000/yr; dashboard $40,000; initial cross-training $56,700</w:t>
            </w:r>
          </w:p>
        </w:tc>
        <w:tc>
          <w:tcPr>
            <w:tcW w:type="dxa" w:w="3216"/>
          </w:tcPr>
          <w:p>
            <w:pPr>
              <w:jc w:val="right"/>
            </w:pPr>
            <w:r/>
            <w:r>
              <w:rPr>
                <w:sz w:val="18"/>
              </w:rPr>
              <w:t>($249,900.00)/yr ongoing + ($96,700.00) one-time</w:t>
            </w:r>
          </w:p>
        </w:tc>
      </w:tr>
      <w:tr>
        <w:tc>
          <w:tcPr>
            <w:tcW w:type="dxa" w:w="3216"/>
          </w:tcPr>
          <w:p>
            <w:r/>
            <w:r>
              <w:rPr>
                <w:sz w:val="18"/>
              </w:rPr>
              <w:t>Year 1 net</w:t>
            </w:r>
          </w:p>
        </w:tc>
        <w:tc>
          <w:tcPr>
            <w:tcW w:type="dxa" w:w="3216"/>
          </w:tcPr>
          <w:p>
            <w:r/>
            <w:r>
              <w:rPr>
                <w:sz w:val="18"/>
              </w:rPr>
              <w:t>Cap effective Q2 (75%); phased hiring</w:t>
            </w:r>
          </w:p>
        </w:tc>
        <w:tc>
          <w:tcPr>
            <w:tcW w:type="dxa" w:w="3216"/>
          </w:tcPr>
          <w:p>
            <w:pPr>
              <w:jc w:val="right"/>
            </w:pPr>
            <w:r/>
            <w:r>
              <w:rPr>
                <w:sz w:val="18"/>
              </w:rPr>
              <w:t>$59.08</w:t>
            </w:r>
          </w:p>
        </w:tc>
      </w:tr>
      <w:tr>
        <w:tc>
          <w:tcPr>
            <w:tcW w:type="dxa" w:w="3216"/>
          </w:tcPr>
          <w:p>
            <w:r/>
            <w:r>
              <w:rPr>
                <w:sz w:val="18"/>
              </w:rPr>
              <w:t>Year 2-3 net</w:t>
            </w:r>
          </w:p>
        </w:tc>
        <w:tc>
          <w:tcPr>
            <w:tcW w:type="dxa" w:w="3216"/>
          </w:tcPr>
          <w:p>
            <w:r/>
            <w:r>
              <w:rPr>
                <w:sz w:val="18"/>
              </w:rPr>
              <w:t>Steady state</w:t>
            </w:r>
          </w:p>
        </w:tc>
        <w:tc>
          <w:tcPr>
            <w:tcW w:type="dxa" w:w="3216"/>
          </w:tcPr>
          <w:p>
            <w:pPr>
              <w:jc w:val="right"/>
            </w:pPr>
            <w:r/>
            <w:r>
              <w:rPr>
                <w:sz w:val="18"/>
              </w:rPr>
              <w:t>$266,352.31/yr</w:t>
            </w:r>
          </w:p>
        </w:tc>
      </w:tr>
      <w:tr>
        <w:tc>
          <w:tcPr>
            <w:tcW w:type="dxa" w:w="3216"/>
          </w:tcPr>
          <w:p>
            <w:r/>
            <w:r>
              <w:rPr>
                <w:sz w:val="18"/>
              </w:rPr>
              <w:t>3-year cumulative net</w:t>
            </w:r>
          </w:p>
        </w:tc>
        <w:tc>
          <w:tcPr>
            <w:tcW w:type="dxa" w:w="3216"/>
          </w:tcPr>
          <w:p>
            <w:r/>
            <w:r>
              <w:rPr>
                <w:sz w:val="18"/>
              </w:rPr>
            </w:r>
          </w:p>
        </w:tc>
        <w:tc>
          <w:tcPr>
            <w:tcW w:type="dxa" w:w="3216"/>
          </w:tcPr>
          <w:p>
            <w:pPr>
              <w:jc w:val="right"/>
            </w:pPr>
            <w:r/>
            <w:r>
              <w:rPr>
                <w:sz w:val="18"/>
              </w:rPr>
              <w:t>$532,763.70</w:t>
            </w:r>
          </w:p>
        </w:tc>
      </w:tr>
    </w:tbl>
    <w:p>
      <w:pPr>
        <w:spacing w:after="120"/>
      </w:pPr>
      <w:r>
        <w:rPr>
          <w:b w:val="0"/>
          <w:i/>
          <w:sz w:val="17"/>
        </w:rPr>
        <w:t>Table 5. Proposal B fiscal model. Year 1 is deliberately break-even: the city buys capability first, savings follow. Full assumptions: Workbook (B1-B9).</w:t>
      </w:r>
    </w:p>
    <w:p>
      <w:pPr>
        <w:pStyle w:val="Heading2"/>
      </w:pPr>
      <w:r>
        <w:rPr>
          <w:rFonts w:ascii="Calibri" w:hAnsi="Calibri"/>
          <w:color w:val="1F3864"/>
        </w:rPr>
        <w:t>5.3 SLA improvement, workforce feasibility, verdict</w:t>
      </w:r>
    </w:p>
    <w:p>
      <w:pPr>
        <w:spacing w:after="120"/>
      </w:pPr>
      <w:r>
        <w:rPr>
          <w:b w:val="0"/>
          <w:i w:val="0"/>
          <w:sz w:val="21"/>
        </w:rPr>
        <w:t>Because the interventions land directly on the failing processes - centralized hiring on the vacancy-driven departments, cross-trained surge capacity on field processes - Proposal B projects the largest service gain: +8.3pp average on-time improvement with 6 of 8 processes reaching the 65% standard (including Plan Review 59.6% to 66.0% and Illegal Dumping 54.2% to 67.0%), and cycle-time cuts on every targeted process. Workforce feasibility is high: no mergers, no CBA renegotiation, 48 FTEs touched (45 cross-trained + 3 hiring team), 12-month timeline, complexity 2/5 and risk 2/5. Verdict: the best service and risk profile, but the lowest cumulative savings - it leaves the fleet and procurement duplication that motivates Proposal A unaddressed.</w:t>
      </w:r>
    </w:p>
    <w:p>
      <w:pPr>
        <w:pStyle w:val="Heading1"/>
      </w:pPr>
      <w:r>
        <w:rPr>
          <w:rFonts w:ascii="Calibri" w:hAnsi="Calibri"/>
          <w:color w:val="1F3864"/>
        </w:rPr>
        <w:t>6. Comparative Assessment</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1F3864"/>
          </w:tcPr>
          <w:p>
            <w:r/>
            <w:r>
              <w:rPr>
                <w:b/>
                <w:color w:val="FFFFFF"/>
                <w:sz w:val="18"/>
              </w:rPr>
              <w:t>Dimension</w:t>
            </w:r>
          </w:p>
        </w:tc>
        <w:tc>
          <w:tcPr>
            <w:tcW w:type="dxa" w:w="2412"/>
            <w:shd w:val="clear" w:fill="1F3864"/>
          </w:tcPr>
          <w:p>
            <w:r/>
            <w:r>
              <w:rPr>
                <w:b/>
                <w:color w:val="FFFFFF"/>
                <w:sz w:val="18"/>
              </w:rPr>
              <w:t>Proposal A - Consolidate</w:t>
            </w:r>
          </w:p>
        </w:tc>
        <w:tc>
          <w:tcPr>
            <w:tcW w:type="dxa" w:w="2412"/>
            <w:shd w:val="clear" w:fill="1F3864"/>
          </w:tcPr>
          <w:p>
            <w:r/>
            <w:r>
              <w:rPr>
                <w:b/>
                <w:color w:val="FFFFFF"/>
                <w:sz w:val="18"/>
              </w:rPr>
              <w:t>Proposal B - Targeted Fix</w:t>
            </w:r>
          </w:p>
        </w:tc>
        <w:tc>
          <w:tcPr>
            <w:tcW w:type="dxa" w:w="2412"/>
            <w:shd w:val="clear" w:fill="1F3864"/>
          </w:tcPr>
          <w:p>
            <w:r/>
            <w:r>
              <w:rPr>
                <w:b/>
                <w:color w:val="FFFFFF"/>
                <w:sz w:val="18"/>
              </w:rPr>
              <w:t>Hybrid (recommended)</w:t>
            </w:r>
          </w:p>
        </w:tc>
      </w:tr>
      <w:tr>
        <w:tc>
          <w:tcPr>
            <w:tcW w:type="dxa" w:w="2412"/>
          </w:tcPr>
          <w:p>
            <w:r/>
            <w:r>
              <w:rPr>
                <w:sz w:val="18"/>
              </w:rPr>
              <w:t>Annual cost savings (3-yr avg net)</w:t>
            </w:r>
          </w:p>
        </w:tc>
        <w:tc>
          <w:tcPr>
            <w:tcW w:type="dxa" w:w="2412"/>
          </w:tcPr>
          <w:p>
            <w:pPr>
              <w:jc w:val="right"/>
            </w:pPr>
            <w:r/>
            <w:r>
              <w:rPr>
                <w:sz w:val="18"/>
              </w:rPr>
              <w:t>$657,609.61</w:t>
            </w:r>
          </w:p>
        </w:tc>
        <w:tc>
          <w:tcPr>
            <w:tcW w:type="dxa" w:w="2412"/>
          </w:tcPr>
          <w:p>
            <w:pPr>
              <w:jc w:val="right"/>
            </w:pPr>
            <w:r/>
            <w:r>
              <w:rPr>
                <w:sz w:val="18"/>
              </w:rPr>
              <w:t>$177,587.90</w:t>
            </w:r>
          </w:p>
        </w:tc>
        <w:tc>
          <w:tcPr>
            <w:tcW w:type="dxa" w:w="2412"/>
          </w:tcPr>
          <w:p>
            <w:pPr>
              <w:jc w:val="right"/>
            </w:pPr>
            <w:r/>
            <w:r>
              <w:rPr>
                <w:sz w:val="18"/>
              </w:rPr>
              <w:t>$526,675.92</w:t>
            </w:r>
          </w:p>
        </w:tc>
      </w:tr>
      <w:tr>
        <w:tc>
          <w:tcPr>
            <w:tcW w:type="dxa" w:w="2412"/>
          </w:tcPr>
          <w:p>
            <w:r/>
            <w:r>
              <w:rPr>
                <w:sz w:val="18"/>
              </w:rPr>
              <w:t>FTEs reallocated</w:t>
            </w:r>
          </w:p>
        </w:tc>
        <w:tc>
          <w:tcPr>
            <w:tcW w:type="dxa" w:w="2412"/>
          </w:tcPr>
          <w:p>
            <w:pPr>
              <w:jc w:val="right"/>
            </w:pPr>
            <w:r/>
            <w:r>
              <w:rPr>
                <w:sz w:val="18"/>
              </w:rPr>
              <w:t>24</w:t>
            </w:r>
          </w:p>
        </w:tc>
        <w:tc>
          <w:tcPr>
            <w:tcW w:type="dxa" w:w="2412"/>
          </w:tcPr>
          <w:p>
            <w:pPr>
              <w:jc w:val="right"/>
            </w:pPr>
            <w:r/>
            <w:r>
              <w:rPr>
                <w:sz w:val="18"/>
              </w:rPr>
              <w:t>48</w:t>
            </w:r>
          </w:p>
        </w:tc>
        <w:tc>
          <w:tcPr>
            <w:tcW w:type="dxa" w:w="2412"/>
          </w:tcPr>
          <w:p>
            <w:pPr>
              <w:jc w:val="right"/>
            </w:pPr>
            <w:r/>
            <w:r>
              <w:rPr>
                <w:sz w:val="18"/>
              </w:rPr>
              <w:t>60</w:t>
            </w:r>
          </w:p>
        </w:tc>
      </w:tr>
      <w:tr>
        <w:tc>
          <w:tcPr>
            <w:tcW w:type="dxa" w:w="2412"/>
          </w:tcPr>
          <w:p>
            <w:r/>
            <w:r>
              <w:rPr>
                <w:sz w:val="18"/>
              </w:rPr>
              <w:t>Projected SLA improvement</w:t>
            </w:r>
          </w:p>
        </w:tc>
        <w:tc>
          <w:tcPr>
            <w:tcW w:type="dxa" w:w="2412"/>
          </w:tcPr>
          <w:p>
            <w:pPr>
              <w:jc w:val="right"/>
            </w:pPr>
            <w:r/>
            <w:r>
              <w:rPr>
                <w:sz w:val="18"/>
              </w:rPr>
              <w:t>+6.2pp; 5 processes fixed</w:t>
            </w:r>
          </w:p>
        </w:tc>
        <w:tc>
          <w:tcPr>
            <w:tcW w:type="dxa" w:w="2412"/>
          </w:tcPr>
          <w:p>
            <w:pPr>
              <w:jc w:val="right"/>
            </w:pPr>
            <w:r/>
            <w:r>
              <w:rPr>
                <w:sz w:val="18"/>
              </w:rPr>
              <w:t>+8.3pp; 6 processes fixed</w:t>
            </w:r>
          </w:p>
        </w:tc>
        <w:tc>
          <w:tcPr>
            <w:tcW w:type="dxa" w:w="2412"/>
          </w:tcPr>
          <w:p>
            <w:pPr>
              <w:jc w:val="right"/>
            </w:pPr>
            <w:r/>
            <w:r>
              <w:rPr>
                <w:sz w:val="18"/>
              </w:rPr>
              <w:t>+8.3pp; 6 processes fixed</w:t>
            </w:r>
          </w:p>
        </w:tc>
      </w:tr>
      <w:tr>
        <w:tc>
          <w:tcPr>
            <w:tcW w:type="dxa" w:w="2412"/>
          </w:tcPr>
          <w:p>
            <w:r/>
            <w:r>
              <w:rPr>
                <w:sz w:val="18"/>
              </w:rPr>
              <w:t>Complexity (1-5)</w:t>
            </w:r>
          </w:p>
        </w:tc>
        <w:tc>
          <w:tcPr>
            <w:tcW w:type="dxa" w:w="2412"/>
          </w:tcPr>
          <w:p>
            <w:pPr>
              <w:jc w:val="right"/>
            </w:pPr>
            <w:r/>
            <w:r>
              <w:rPr>
                <w:sz w:val="18"/>
              </w:rPr>
              <w:t>4</w:t>
            </w:r>
          </w:p>
        </w:tc>
        <w:tc>
          <w:tcPr>
            <w:tcW w:type="dxa" w:w="2412"/>
          </w:tcPr>
          <w:p>
            <w:pPr>
              <w:jc w:val="right"/>
            </w:pPr>
            <w:r/>
            <w:r>
              <w:rPr>
                <w:sz w:val="18"/>
              </w:rPr>
              <w:t>2</w:t>
            </w:r>
          </w:p>
        </w:tc>
        <w:tc>
          <w:tcPr>
            <w:tcW w:type="dxa" w:w="2412"/>
          </w:tcPr>
          <w:p>
            <w:pPr>
              <w:jc w:val="right"/>
            </w:pPr>
            <w:r/>
            <w:r>
              <w:rPr>
                <w:sz w:val="18"/>
              </w:rPr>
              <w:t>3</w:t>
            </w:r>
          </w:p>
        </w:tc>
      </w:tr>
      <w:tr>
        <w:tc>
          <w:tcPr>
            <w:tcW w:type="dxa" w:w="2412"/>
          </w:tcPr>
          <w:p>
            <w:r/>
            <w:r>
              <w:rPr>
                <w:sz w:val="18"/>
              </w:rPr>
              <w:t>Risk (1-5)</w:t>
            </w:r>
          </w:p>
        </w:tc>
        <w:tc>
          <w:tcPr>
            <w:tcW w:type="dxa" w:w="2412"/>
          </w:tcPr>
          <w:p>
            <w:pPr>
              <w:jc w:val="right"/>
            </w:pPr>
            <w:r/>
            <w:r>
              <w:rPr>
                <w:sz w:val="18"/>
              </w:rPr>
              <w:t>4</w:t>
            </w:r>
          </w:p>
        </w:tc>
        <w:tc>
          <w:tcPr>
            <w:tcW w:type="dxa" w:w="2412"/>
          </w:tcPr>
          <w:p>
            <w:pPr>
              <w:jc w:val="right"/>
            </w:pPr>
            <w:r/>
            <w:r>
              <w:rPr>
                <w:sz w:val="18"/>
              </w:rPr>
              <w:t>2</w:t>
            </w:r>
          </w:p>
        </w:tc>
        <w:tc>
          <w:tcPr>
            <w:tcW w:type="dxa" w:w="2412"/>
          </w:tcPr>
          <w:p>
            <w:pPr>
              <w:jc w:val="right"/>
            </w:pPr>
            <w:r/>
            <w:r>
              <w:rPr>
                <w:sz w:val="18"/>
              </w:rPr>
              <w:t>3</w:t>
            </w:r>
          </w:p>
        </w:tc>
      </w:tr>
      <w:tr>
        <w:tc>
          <w:tcPr>
            <w:tcW w:type="dxa" w:w="2412"/>
          </w:tcPr>
          <w:p>
            <w:r/>
            <w:r>
              <w:rPr>
                <w:sz w:val="18"/>
              </w:rPr>
              <w:t>Year-1 net</w:t>
            </w:r>
          </w:p>
        </w:tc>
        <w:tc>
          <w:tcPr>
            <w:tcW w:type="dxa" w:w="2412"/>
          </w:tcPr>
          <w:p>
            <w:pPr>
              <w:jc w:val="right"/>
            </w:pPr>
            <w:r/>
            <w:r>
              <w:rPr>
                <w:sz w:val="18"/>
              </w:rPr>
              <w:t>$-205,434.24</w:t>
            </w:r>
          </w:p>
        </w:tc>
        <w:tc>
          <w:tcPr>
            <w:tcW w:type="dxa" w:w="2412"/>
          </w:tcPr>
          <w:p>
            <w:pPr>
              <w:jc w:val="right"/>
            </w:pPr>
            <w:r/>
            <w:r>
              <w:rPr>
                <w:sz w:val="18"/>
              </w:rPr>
              <w:t>$59.08</w:t>
            </w:r>
          </w:p>
        </w:tc>
        <w:tc>
          <w:tcPr>
            <w:tcW w:type="dxa" w:w="2412"/>
          </w:tcPr>
          <w:p>
            <w:pPr>
              <w:jc w:val="right"/>
            </w:pPr>
            <w:r/>
            <w:r>
              <w:rPr>
                <w:sz w:val="18"/>
              </w:rPr>
              <w:t>$89,551.89</w:t>
            </w:r>
          </w:p>
        </w:tc>
      </w:tr>
      <w:tr>
        <w:tc>
          <w:tcPr>
            <w:tcW w:type="dxa" w:w="2412"/>
          </w:tcPr>
          <w:p>
            <w:r/>
            <w:r>
              <w:rPr>
                <w:sz w:val="18"/>
              </w:rPr>
              <w:t>3-year cumulative net</w:t>
            </w:r>
          </w:p>
        </w:tc>
        <w:tc>
          <w:tcPr>
            <w:tcW w:type="dxa" w:w="2412"/>
          </w:tcPr>
          <w:p>
            <w:pPr>
              <w:jc w:val="right"/>
            </w:pPr>
            <w:r/>
            <w:r>
              <w:rPr>
                <w:sz w:val="18"/>
              </w:rPr>
              <w:t>$1,972,828.82</w:t>
            </w:r>
          </w:p>
        </w:tc>
        <w:tc>
          <w:tcPr>
            <w:tcW w:type="dxa" w:w="2412"/>
          </w:tcPr>
          <w:p>
            <w:pPr>
              <w:jc w:val="right"/>
            </w:pPr>
            <w:r/>
            <w:r>
              <w:rPr>
                <w:sz w:val="18"/>
              </w:rPr>
              <w:t>$532,763.70</w:t>
            </w:r>
          </w:p>
        </w:tc>
        <w:tc>
          <w:tcPr>
            <w:tcW w:type="dxa" w:w="2412"/>
          </w:tcPr>
          <w:p>
            <w:pPr>
              <w:jc w:val="right"/>
            </w:pPr>
            <w:r/>
            <w:r>
              <w:rPr>
                <w:sz w:val="18"/>
              </w:rPr>
              <w:t>$1,580,027.75</w:t>
            </w:r>
          </w:p>
        </w:tc>
      </w:tr>
      <w:tr>
        <w:tc>
          <w:tcPr>
            <w:tcW w:type="dxa" w:w="2412"/>
          </w:tcPr>
          <w:p>
            <w:r/>
            <w:r>
              <w:rPr>
                <w:sz w:val="18"/>
              </w:rPr>
              <w:t>Timeline (months)</w:t>
            </w:r>
          </w:p>
        </w:tc>
        <w:tc>
          <w:tcPr>
            <w:tcW w:type="dxa" w:w="2412"/>
          </w:tcPr>
          <w:p>
            <w:pPr>
              <w:jc w:val="right"/>
            </w:pPr>
            <w:r/>
            <w:r>
              <w:rPr>
                <w:sz w:val="18"/>
              </w:rPr>
              <w:t>24</w:t>
            </w:r>
          </w:p>
        </w:tc>
        <w:tc>
          <w:tcPr>
            <w:tcW w:type="dxa" w:w="2412"/>
          </w:tcPr>
          <w:p>
            <w:pPr>
              <w:jc w:val="right"/>
            </w:pPr>
            <w:r/>
            <w:r>
              <w:rPr>
                <w:sz w:val="18"/>
              </w:rPr>
              <w:t>12</w:t>
            </w:r>
          </w:p>
        </w:tc>
        <w:tc>
          <w:tcPr>
            <w:tcW w:type="dxa" w:w="2412"/>
          </w:tcPr>
          <w:p>
            <w:pPr>
              <w:jc w:val="right"/>
            </w:pPr>
            <w:r/>
            <w:r>
              <w:rPr>
                <w:sz w:val="18"/>
              </w:rPr>
              <w:t>12</w:t>
            </w:r>
          </w:p>
        </w:tc>
      </w:tr>
      <w:tr>
        <w:tc>
          <w:tcPr>
            <w:tcW w:type="dxa" w:w="2412"/>
            <w:shd w:val="clear" w:fill="E2EFDA"/>
          </w:tcPr>
          <w:p>
            <w:r/>
            <w:r>
              <w:rPr>
                <w:b/>
                <w:sz w:val="18"/>
              </w:rPr>
              <w:t>Net recommendation score</w:t>
            </w:r>
          </w:p>
        </w:tc>
        <w:tc>
          <w:tcPr>
            <w:tcW w:type="dxa" w:w="2412"/>
            <w:shd w:val="clear" w:fill="E2EFDA"/>
          </w:tcPr>
          <w:p>
            <w:pPr>
              <w:jc w:val="right"/>
            </w:pPr>
            <w:r/>
            <w:r>
              <w:rPr>
                <w:b/>
                <w:sz w:val="18"/>
              </w:rPr>
              <w:t>3.2 / 5</w:t>
            </w:r>
          </w:p>
        </w:tc>
        <w:tc>
          <w:tcPr>
            <w:tcW w:type="dxa" w:w="2412"/>
            <w:shd w:val="clear" w:fill="E2EFDA"/>
          </w:tcPr>
          <w:p>
            <w:pPr>
              <w:jc w:val="right"/>
            </w:pPr>
            <w:r/>
            <w:r>
              <w:rPr>
                <w:b/>
                <w:sz w:val="18"/>
              </w:rPr>
              <w:t>3.4 / 5</w:t>
            </w:r>
          </w:p>
        </w:tc>
        <w:tc>
          <w:tcPr>
            <w:tcW w:type="dxa" w:w="2412"/>
            <w:shd w:val="clear" w:fill="E2EFDA"/>
          </w:tcPr>
          <w:p>
            <w:pPr>
              <w:jc w:val="right"/>
            </w:pPr>
            <w:r/>
            <w:r>
              <w:rPr>
                <w:b/>
                <w:sz w:val="18"/>
              </w:rPr>
              <w:t>3.6 / 5</w:t>
            </w:r>
          </w:p>
        </w:tc>
      </w:tr>
    </w:tbl>
    <w:p>
      <w:pPr>
        <w:spacing w:after="120"/>
      </w:pPr>
      <w:r>
        <w:rPr>
          <w:b w:val="0"/>
          <w:i/>
          <w:sz w:val="17"/>
        </w:rPr>
        <w:t>Table 6. Five-dimension comparison (shaded column = recommendation). Scores use the transparent rubric in the Workbook "Comparison Summary" tab: savings points on 3-year average annual net (&gt;=900K=5, &gt;=600K=4, &gt;=400K=3, &gt;=200K=2, &gt;0=1), SLA points on average percentage-point gain (&gt;=8=5, &gt;=6=4, ...), complexity and risk inverted (6 - level), weighted 30/30/20/20.</w:t>
      </w:r>
    </w:p>
    <w:p>
      <w:pPr>
        <w:pStyle w:val="Heading1"/>
      </w:pPr>
      <w:r>
        <w:rPr>
          <w:rFonts w:ascii="Calibri" w:hAnsi="Calibri"/>
          <w:color w:val="1F3864"/>
        </w:rPr>
        <w:t>7. Recommendation: A Phased Hybrid</w:t>
      </w:r>
    </w:p>
    <w:p>
      <w:r>
        <w:rPr>
          <w:b/>
        </w:rPr>
        <w:t>Adopt Proposal B in full now; run a gated, reversible fleet-sharing pilot; decide on consolidation only if the gates are met.</w:t>
      </w:r>
    </w:p>
    <w:p>
      <w:pPr>
        <w:pStyle w:val="ListBullet"/>
        <w:spacing w:after="60"/>
      </w:pPr>
      <w:r>
        <w:rPr>
          <w:b/>
        </w:rPr>
        <w:t xml:space="preserve">Phase 1 (months 0-12): </w:t>
      </w:r>
      <w:r>
        <w:t>implement every Proposal B intervention - the Fire OT cap at 13% of regular hours, centralized hiring for the 8 triggered divisions (36 vacancies; 22 fills targeted in Year 1), and the three cross-training pools (45 members) - with the hiring team and vacancy dashboard stood up in Q1 and the OT cap effective in Q2. Year 1 nets $59.08 by design; steady-state net is $266,352.31/yr from Year 2.</w:t>
      </w:r>
    </w:p>
    <w:p>
      <w:pPr>
        <w:pStyle w:val="ListBullet"/>
        <w:spacing w:after="60"/>
      </w:pPr>
      <w:r>
        <w:rPr>
          <w:b/>
        </w:rPr>
        <w:t xml:space="preserve">Phase 2 (months 6-24): </w:t>
      </w:r>
      <w:r>
        <w:t>establish joint Fleet &amp; Equipment Operations across Sanitation, Transportation, and Parks maintenance - shared maintenance bays, bulk fuel/parts contracting, pooled spare vehicles - without merging the departments. Captures $150,000 of fleet OTPS savings plus $128,986 (half of the modeled Public Works OT synergy) against a $50,000 pilot cost. Every element is reversible by MOU at 90 days notice.</w:t>
      </w:r>
    </w:p>
    <w:p>
      <w:pPr>
        <w:pStyle w:val="ListBullet"/>
        <w:spacing w:after="60"/>
      </w:pPr>
      <w:r>
        <w:rPr>
          <w:b/>
        </w:rPr>
        <w:t xml:space="preserve">Phase 3 (month 24+): </w:t>
      </w:r>
      <w:r>
        <w:t>only if the pilot passes pre-agreed gates - quarterly OT% and on-time% targets met for four consecutive quarters - should the Council re-open the consolidation question with the evidence Proposal A currently lacks.</w:t>
      </w:r>
    </w:p>
    <w:p>
      <w:pPr>
        <w:spacing w:after="120"/>
      </w:pPr>
      <w:r>
        <w:rPr>
          <w:b w:val="0"/>
          <w:i w:val="0"/>
          <w:sz w:val="21"/>
        </w:rPr>
        <w:t>The quantitative case for the Hybrid: it matches Proposal B's service gain (+8.3pp, 6 processes fixed) because it contains all of B; it recovers roughly two-thirds of Proposal A's steady-state savings ($745,238/yr vs. $1,089,132) while avoiding A's negative first year (Hybrid Year 1: +$89,551.89); its three-year cumulative net of $1,580,027.75 is 3.0x Proposal B's and 80% of Proposal A's - but Proposal A's figure assumes merger synergies materialize on schedule, which its own 4/5 complexity and risk ratings argue against. On risk-adjusted expected value the Hybrid dominates: its savings rest on interventions with direct data triggers, its only speculative element (the fleet pilot) is small, gated, and reversible.</w:t>
      </w:r>
    </w:p>
    <w:p>
      <w:pPr>
        <w:spacing w:after="120"/>
      </w:pPr>
      <w:r>
        <w:rPr>
          <w:b w:val="0"/>
          <w:i w:val="0"/>
          <w:sz w:val="21"/>
        </w:rPr>
        <w:t>What this recommendation deliberately does not do: no layoffs (attrition only), no change to the Fire Department (its vacancy and OT problems are addressed by B's tools, and NYC data shows frontline functions resist consolidation economics), and no merger during a 9.06%-vacancy hiring market.</w:t>
      </w:r>
    </w:p>
    <w:p>
      <w:pPr>
        <w:pStyle w:val="Heading1"/>
      </w:pPr>
      <w:r>
        <w:rPr>
          <w:rFonts w:ascii="Calibri" w:hAnsi="Calibri"/>
          <w:color w:val="1F3864"/>
        </w:rPr>
        <w:t>8. Risks and Mitigations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1F3864"/>
          </w:tcPr>
          <w:p>
            <w:r/>
            <w:r>
              <w:rPr>
                <w:b/>
                <w:color w:val="FFFFFF"/>
                <w:sz w:val="18"/>
              </w:rPr>
              <w:t>Risk</w:t>
            </w:r>
          </w:p>
        </w:tc>
        <w:tc>
          <w:tcPr>
            <w:tcW w:type="dxa" w:w="3216"/>
            <w:shd w:val="clear" w:fill="1F3864"/>
          </w:tcPr>
          <w:p>
            <w:r/>
            <w:r>
              <w:rPr>
                <w:b/>
                <w:color w:val="FFFFFF"/>
                <w:sz w:val="18"/>
              </w:rPr>
              <w:t>Likelihood/Impact</w:t>
            </w:r>
          </w:p>
        </w:tc>
        <w:tc>
          <w:tcPr>
            <w:tcW w:type="dxa" w:w="3216"/>
            <w:shd w:val="clear" w:fill="1F3864"/>
          </w:tcPr>
          <w:p>
            <w:r/>
            <w:r>
              <w:rPr>
                <w:b/>
                <w:color w:val="FFFFFF"/>
                <w:sz w:val="18"/>
              </w:rPr>
              <w:t>Mitigation</w:t>
            </w:r>
          </w:p>
        </w:tc>
      </w:tr>
      <w:tr>
        <w:tc>
          <w:tcPr>
            <w:tcW w:type="dxa" w:w="3216"/>
          </w:tcPr>
          <w:p>
            <w:r/>
            <w:r>
              <w:rPr>
                <w:sz w:val="18"/>
              </w:rPr>
              <w:t>Hiring market cannot deliver 22 fills in Year 1 (Comptroller: NYC exam turnaround 169-318 days)</w:t>
            </w:r>
          </w:p>
        </w:tc>
        <w:tc>
          <w:tcPr>
            <w:tcW w:type="dxa" w:w="3216"/>
          </w:tcPr>
          <w:p>
            <w:pPr>
              <w:jc w:val="right"/>
            </w:pPr>
            <w:r/>
            <w:r>
              <w:rPr>
                <w:sz w:val="18"/>
              </w:rPr>
              <w:t>Medium / High</w:t>
            </w:r>
          </w:p>
        </w:tc>
        <w:tc>
          <w:tcPr>
            <w:tcW w:type="dxa" w:w="3216"/>
          </w:tcPr>
          <w:p>
            <w:r/>
            <w:r>
              <w:rPr>
                <w:sz w:val="18"/>
              </w:rPr>
              <w:t>Dedicated 3-FTE hiring team; contract recruiters for hard-to-fill titles; phased targets with quarterly reporting</w:t>
            </w:r>
          </w:p>
        </w:tc>
      </w:tr>
      <w:tr>
        <w:tc>
          <w:tcPr>
            <w:tcW w:type="dxa" w:w="3216"/>
          </w:tcPr>
          <w:p>
            <w:r/>
            <w:r>
              <w:rPr>
                <w:sz w:val="18"/>
              </w:rPr>
              <w:t>OT cap shifts work to unfilled demand (slower response, not lower cost)</w:t>
            </w:r>
          </w:p>
        </w:tc>
        <w:tc>
          <w:tcPr>
            <w:tcW w:type="dxa" w:w="3216"/>
          </w:tcPr>
          <w:p>
            <w:pPr>
              <w:jc w:val="right"/>
            </w:pPr>
            <w:r/>
            <w:r>
              <w:rPr>
                <w:sz w:val="18"/>
              </w:rPr>
              <w:t>Medium / Medium</w:t>
            </w:r>
          </w:p>
        </w:tc>
        <w:tc>
          <w:tcPr>
            <w:tcW w:type="dxa" w:w="3216"/>
          </w:tcPr>
          <w:p>
            <w:r/>
            <w:r>
              <w:rPr>
                <w:sz w:val="18"/>
              </w:rPr>
              <w:t>Cap paired with cross-training pools and monthly OT% monitoring; Sanitation watch-list review at mid-year</w:t>
            </w:r>
          </w:p>
        </w:tc>
      </w:tr>
      <w:tr>
        <w:tc>
          <w:tcPr>
            <w:tcW w:type="dxa" w:w="3216"/>
          </w:tcPr>
          <w:p>
            <w:r/>
            <w:r>
              <w:rPr>
                <w:sz w:val="18"/>
              </w:rPr>
              <w:t>Fleet pilot drifts into de-facto merger, recreating Proposal A risks</w:t>
            </w:r>
          </w:p>
        </w:tc>
        <w:tc>
          <w:tcPr>
            <w:tcW w:type="dxa" w:w="3216"/>
          </w:tcPr>
          <w:p>
            <w:pPr>
              <w:jc w:val="right"/>
            </w:pPr>
            <w:r/>
            <w:r>
              <w:rPr>
                <w:sz w:val="18"/>
              </w:rPr>
              <w:t>Low / Medium</w:t>
            </w:r>
          </w:p>
        </w:tc>
        <w:tc>
          <w:tcPr>
            <w:tcW w:type="dxa" w:w="3216"/>
          </w:tcPr>
          <w:p>
            <w:r/>
            <w:r>
              <w:rPr>
                <w:sz w:val="18"/>
              </w:rPr>
              <w:t>Reversible MOU with 90-day exit; quarterly gates; no transfer of personnel authority</w:t>
            </w:r>
          </w:p>
        </w:tc>
      </w:tr>
      <w:tr>
        <w:tc>
          <w:tcPr>
            <w:tcW w:type="dxa" w:w="3216"/>
          </w:tcPr>
          <w:p>
            <w:r/>
            <w:r>
              <w:rPr>
                <w:sz w:val="18"/>
              </w:rPr>
              <w:t>Savings overstated (single-year 311 sample of 500 requests; blended OT rate; 25% backfill share)</w:t>
            </w:r>
          </w:p>
        </w:tc>
        <w:tc>
          <w:tcPr>
            <w:tcW w:type="dxa" w:w="3216"/>
          </w:tcPr>
          <w:p>
            <w:pPr>
              <w:jc w:val="right"/>
            </w:pPr>
            <w:r/>
            <w:r>
              <w:rPr>
                <w:sz w:val="18"/>
              </w:rPr>
              <w:t>Medium / Medium</w:t>
            </w:r>
          </w:p>
        </w:tc>
        <w:tc>
          <w:tcPr>
            <w:tcW w:type="dxa" w:w="3216"/>
          </w:tcPr>
          <w:p>
            <w:r/>
            <w:r>
              <w:rPr>
                <w:sz w:val="18"/>
              </w:rPr>
              <w:t>Conservative haircut already applied to merger synergy (50%); re-baseline after FY2025 close; dashboard tracks actual vs. model</w:t>
            </w:r>
          </w:p>
        </w:tc>
      </w:tr>
      <w:tr>
        <w:tc>
          <w:tcPr>
            <w:tcW w:type="dxa" w:w="3216"/>
          </w:tcPr>
          <w:p>
            <w:r/>
            <w:r>
              <w:rPr>
                <w:sz w:val="18"/>
              </w:rPr>
              <w:t>Council credibility: metrics drift after the vote</w:t>
            </w:r>
          </w:p>
        </w:tc>
        <w:tc>
          <w:tcPr>
            <w:tcW w:type="dxa" w:w="3216"/>
          </w:tcPr>
          <w:p>
            <w:pPr>
              <w:jc w:val="right"/>
            </w:pPr>
            <w:r/>
            <w:r>
              <w:rPr>
                <w:sz w:val="18"/>
              </w:rPr>
              <w:t>Low / High</w:t>
            </w:r>
          </w:p>
        </w:tc>
        <w:tc>
          <w:tcPr>
            <w:tcW w:type="dxa" w:w="3216"/>
          </w:tcPr>
          <w:p>
            <w:r/>
            <w:r>
              <w:rPr>
                <w:sz w:val="18"/>
              </w:rPr>
              <w:t>Quarterly public scorecard on the four red-flag metrics (vacancy, OT%, on-time%, 311 resolution)</w:t>
            </w:r>
          </w:p>
        </w:tc>
      </w:tr>
    </w:tbl>
    <w:p>
      <w:pPr>
        <w:pStyle w:val="Heading1"/>
      </w:pPr>
      <w:r>
        <w:rPr>
          <w:rFonts w:ascii="Calibri" w:hAnsi="Calibri"/>
          <w:color w:val="1F3864"/>
        </w:rPr>
        <w:t>9. Assumptions Register (consolidated)</w:t>
      </w:r>
    </w:p>
    <w:p>
      <w:pPr>
        <w:spacing w:after="120"/>
      </w:pPr>
      <w:r>
        <w:rPr>
          <w:b w:val="0"/>
          <w:i w:val="0"/>
          <w:sz w:val="21"/>
        </w:rPr>
        <w:t>Proposal A (A1-A8): OT reduction 10% CW / 20% PW on FY2024 OT cost bases; admin elimination 2.0% of merged authorized positions (9 FTE) via attrition only; fringe/load factor 1.35x salary; fleet OTPS savings $150,000/yr (planning estimate); one-time transition $750,000 as itemized; realization 50%/100%/100%; Fire unchanged; service projections assume merged dispatch/crew flexibility lifts on-time% as tabled.</w:t>
      </w:r>
    </w:p>
    <w:p>
      <w:pPr>
        <w:spacing w:after="120"/>
      </w:pPr>
      <w:r>
        <w:rPr>
          <w:b w:val="0"/>
          <w:i w:val="0"/>
          <w:sz w:val="21"/>
        </w:rPr>
        <w:t>Proposal B (B1-B9): OT cap 13% of regular hours, applied only to departments above the 10% trigger (Fire); excess hours priced at blended rate $48.00/hr; 25% of triggering departments' OT attributed to vacancy backfill; 60% of triggered vacancies filled in Year 1 (22 of 36), 100% by end of Year 2, savings scale with fills; hiring team 3 FTE at $58,000 x 1.35; cross-training 45 members x 40 hours x $31.50 loaded; dashboard $40,000 one-time; refresh $15,000/yr; Sanitation on watch list only; no boundary, CBA, or title changes.</w:t>
      </w:r>
    </w:p>
    <w:p>
      <w:pPr>
        <w:spacing w:after="120"/>
      </w:pPr>
      <w:r>
        <w:rPr>
          <w:b w:val="0"/>
          <w:i w:val="0"/>
          <w:sz w:val="21"/>
        </w:rPr>
        <w:t>Hybrid (H1-H3): captures A's fleet OTPS savings ($150,000) without governance change; captures 50% of modeled PW OT synergy ($128,986) via pooled routing only; pilot cost $50,000; fleet savings counted only from the pilot's effective quarter (50% in Year 1).</w:t>
      </w:r>
    </w:p>
    <w:p>
      <w:pPr>
        <w:pStyle w:val="Heading1"/>
      </w:pPr>
      <w:r>
        <w:rPr>
          <w:rFonts w:ascii="Calibri" w:hAnsi="Calibri"/>
          <w:color w:val="1F3864"/>
        </w:rPr>
        <w:t>10. Next Steps and Decision Requested</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1F3864"/>
          </w:tcPr>
          <w:p>
            <w:r/>
            <w:r>
              <w:rPr>
                <w:b/>
                <w:color w:val="FFFFFF"/>
                <w:sz w:val="18"/>
              </w:rPr>
              <w:t>#</w:t>
            </w:r>
          </w:p>
        </w:tc>
        <w:tc>
          <w:tcPr>
            <w:tcW w:type="dxa" w:w="2412"/>
            <w:shd w:val="clear" w:fill="1F3864"/>
          </w:tcPr>
          <w:p>
            <w:r/>
            <w:r>
              <w:rPr>
                <w:b/>
                <w:color w:val="FFFFFF"/>
                <w:sz w:val="18"/>
              </w:rPr>
              <w:t>Action</w:t>
            </w:r>
          </w:p>
        </w:tc>
        <w:tc>
          <w:tcPr>
            <w:tcW w:type="dxa" w:w="2412"/>
            <w:shd w:val="clear" w:fill="1F3864"/>
          </w:tcPr>
          <w:p>
            <w:r/>
            <w:r>
              <w:rPr>
                <w:b/>
                <w:color w:val="FFFFFF"/>
                <w:sz w:val="18"/>
              </w:rPr>
              <w:t>Timing</w:t>
            </w:r>
          </w:p>
        </w:tc>
        <w:tc>
          <w:tcPr>
            <w:tcW w:type="dxa" w:w="2412"/>
            <w:shd w:val="clear" w:fill="1F3864"/>
          </w:tcPr>
          <w:p>
            <w:r/>
            <w:r>
              <w:rPr>
                <w:b/>
                <w:color w:val="FFFFFF"/>
                <w:sz w:val="18"/>
              </w:rPr>
              <w:t>Owner</w:t>
            </w:r>
          </w:p>
        </w:tc>
      </w:tr>
      <w:tr>
        <w:tc>
          <w:tcPr>
            <w:tcW w:type="dxa" w:w="2412"/>
          </w:tcPr>
          <w:p>
            <w:r/>
            <w:r>
              <w:rPr>
                <w:sz w:val="18"/>
              </w:rPr>
              <w:t>1</w:t>
            </w:r>
          </w:p>
        </w:tc>
        <w:tc>
          <w:tcPr>
            <w:tcW w:type="dxa" w:w="2412"/>
          </w:tcPr>
          <w:p>
            <w:r/>
            <w:r>
              <w:rPr>
                <w:sz w:val="18"/>
              </w:rPr>
              <w:t>Council adopts the Hybrid resolution (Phase 1: Proposal B interventions in full)</w:t>
            </w:r>
          </w:p>
        </w:tc>
        <w:tc>
          <w:tcPr>
            <w:tcW w:type="dxa" w:w="2412"/>
          </w:tcPr>
          <w:p>
            <w:pPr>
              <w:jc w:val="right"/>
            </w:pPr>
            <w:r/>
            <w:r>
              <w:rPr>
                <w:sz w:val="18"/>
              </w:rPr>
              <w:t>This session</w:t>
            </w:r>
          </w:p>
        </w:tc>
        <w:tc>
          <w:tcPr>
            <w:tcW w:type="dxa" w:w="2412"/>
          </w:tcPr>
          <w:p>
            <w:r/>
            <w:r>
              <w:rPr>
                <w:sz w:val="18"/>
              </w:rPr>
              <w:t>Council / City Manager</w:t>
            </w:r>
          </w:p>
        </w:tc>
      </w:tr>
      <w:tr>
        <w:tc>
          <w:tcPr>
            <w:tcW w:type="dxa" w:w="2412"/>
          </w:tcPr>
          <w:p>
            <w:r/>
            <w:r>
              <w:rPr>
                <w:sz w:val="18"/>
              </w:rPr>
              <w:t>2</w:t>
            </w:r>
          </w:p>
        </w:tc>
        <w:tc>
          <w:tcPr>
            <w:tcW w:type="dxa" w:w="2412"/>
          </w:tcPr>
          <w:p>
            <w:r/>
            <w:r>
              <w:rPr>
                <w:sz w:val="18"/>
              </w:rPr>
              <w:t>Stand up centralized hiring team (3 FTE) and vacancy dashboard</w:t>
            </w:r>
          </w:p>
        </w:tc>
        <w:tc>
          <w:tcPr>
            <w:tcW w:type="dxa" w:w="2412"/>
          </w:tcPr>
          <w:p>
            <w:pPr>
              <w:jc w:val="right"/>
            </w:pPr>
            <w:r/>
            <w:r>
              <w:rPr>
                <w:sz w:val="18"/>
              </w:rPr>
              <w:t>Q1</w:t>
            </w:r>
          </w:p>
        </w:tc>
        <w:tc>
          <w:tcPr>
            <w:tcW w:type="dxa" w:w="2412"/>
          </w:tcPr>
          <w:p>
            <w:r/>
            <w:r>
              <w:rPr>
                <w:sz w:val="18"/>
              </w:rPr>
              <w:t>HR Director</w:t>
            </w:r>
          </w:p>
        </w:tc>
      </w:tr>
      <w:tr>
        <w:tc>
          <w:tcPr>
            <w:tcW w:type="dxa" w:w="2412"/>
          </w:tcPr>
          <w:p>
            <w:r/>
            <w:r>
              <w:rPr>
                <w:sz w:val="18"/>
              </w:rPr>
              <w:t>3</w:t>
            </w:r>
          </w:p>
        </w:tc>
        <w:tc>
          <w:tcPr>
            <w:tcW w:type="dxa" w:w="2412"/>
          </w:tcPr>
          <w:p>
            <w:r/>
            <w:r>
              <w:rPr>
                <w:sz w:val="18"/>
              </w:rPr>
              <w:t>Fire Department OT cap effective at 13% of regular hours; monthly OT% reporting begins</w:t>
            </w:r>
          </w:p>
        </w:tc>
        <w:tc>
          <w:tcPr>
            <w:tcW w:type="dxa" w:w="2412"/>
          </w:tcPr>
          <w:p>
            <w:pPr>
              <w:jc w:val="right"/>
            </w:pPr>
            <w:r/>
            <w:r>
              <w:rPr>
                <w:sz w:val="18"/>
              </w:rPr>
              <w:t>Q2</w:t>
            </w:r>
          </w:p>
        </w:tc>
        <w:tc>
          <w:tcPr>
            <w:tcW w:type="dxa" w:w="2412"/>
          </w:tcPr>
          <w:p>
            <w:r/>
            <w:r>
              <w:rPr>
                <w:sz w:val="18"/>
              </w:rPr>
              <w:t>Fire Chief / Budget Office</w:t>
            </w:r>
          </w:p>
        </w:tc>
      </w:tr>
      <w:tr>
        <w:tc>
          <w:tcPr>
            <w:tcW w:type="dxa" w:w="2412"/>
          </w:tcPr>
          <w:p>
            <w:r/>
            <w:r>
              <w:rPr>
                <w:sz w:val="18"/>
              </w:rPr>
              <w:t>4</w:t>
            </w:r>
          </w:p>
        </w:tc>
        <w:tc>
          <w:tcPr>
            <w:tcW w:type="dxa" w:w="2412"/>
          </w:tcPr>
          <w:p>
            <w:r/>
            <w:r>
              <w:rPr>
                <w:sz w:val="18"/>
              </w:rPr>
              <w:t>Cross-training pools launched (45 members; 40-hour curriculum)</w:t>
            </w:r>
          </w:p>
        </w:tc>
        <w:tc>
          <w:tcPr>
            <w:tcW w:type="dxa" w:w="2412"/>
          </w:tcPr>
          <w:p>
            <w:pPr>
              <w:jc w:val="right"/>
            </w:pPr>
            <w:r/>
            <w:r>
              <w:rPr>
                <w:sz w:val="18"/>
              </w:rPr>
              <w:t>Q2-Q3</w:t>
            </w:r>
          </w:p>
        </w:tc>
        <w:tc>
          <w:tcPr>
            <w:tcW w:type="dxa" w:w="2412"/>
          </w:tcPr>
          <w:p>
            <w:r/>
            <w:r>
              <w:rPr>
                <w:sz w:val="18"/>
              </w:rPr>
              <w:t>Department heads</w:t>
            </w:r>
          </w:p>
        </w:tc>
      </w:tr>
      <w:tr>
        <w:tc>
          <w:tcPr>
            <w:tcW w:type="dxa" w:w="2412"/>
          </w:tcPr>
          <w:p>
            <w:r/>
            <w:r>
              <w:rPr>
                <w:sz w:val="18"/>
              </w:rPr>
              <w:t>5</w:t>
            </w:r>
          </w:p>
        </w:tc>
        <w:tc>
          <w:tcPr>
            <w:tcW w:type="dxa" w:w="2412"/>
          </w:tcPr>
          <w:p>
            <w:r/>
            <w:r>
              <w:rPr>
                <w:sz w:val="18"/>
              </w:rPr>
              <w:t>Fleet-sharing pilot MOU executed with gates and 90-day reversal clause</w:t>
            </w:r>
          </w:p>
        </w:tc>
        <w:tc>
          <w:tcPr>
            <w:tcW w:type="dxa" w:w="2412"/>
          </w:tcPr>
          <w:p>
            <w:pPr>
              <w:jc w:val="right"/>
            </w:pPr>
            <w:r/>
            <w:r>
              <w:rPr>
                <w:sz w:val="18"/>
              </w:rPr>
              <w:t>Month 6</w:t>
            </w:r>
          </w:p>
        </w:tc>
        <w:tc>
          <w:tcPr>
            <w:tcW w:type="dxa" w:w="2412"/>
          </w:tcPr>
          <w:p>
            <w:r/>
            <w:r>
              <w:rPr>
                <w:sz w:val="18"/>
              </w:rPr>
              <w:t>City Manager / Fleet</w:t>
            </w:r>
          </w:p>
        </w:tc>
      </w:tr>
      <w:tr>
        <w:tc>
          <w:tcPr>
            <w:tcW w:type="dxa" w:w="2412"/>
          </w:tcPr>
          <w:p>
            <w:r/>
            <w:r>
              <w:rPr>
                <w:sz w:val="18"/>
              </w:rPr>
              <w:t>6</w:t>
            </w:r>
          </w:p>
        </w:tc>
        <w:tc>
          <w:tcPr>
            <w:tcW w:type="dxa" w:w="2412"/>
          </w:tcPr>
          <w:p>
            <w:r/>
            <w:r>
              <w:rPr>
                <w:sz w:val="18"/>
              </w:rPr>
              <w:t>First quarterly public scorecard (vacancy, OT%, on-time%, 311 resolution)</w:t>
            </w:r>
          </w:p>
        </w:tc>
        <w:tc>
          <w:tcPr>
            <w:tcW w:type="dxa" w:w="2412"/>
          </w:tcPr>
          <w:p>
            <w:pPr>
              <w:jc w:val="right"/>
            </w:pPr>
            <w:r/>
            <w:r>
              <w:rPr>
                <w:sz w:val="18"/>
              </w:rPr>
              <w:t>Q3</w:t>
            </w:r>
          </w:p>
        </w:tc>
        <w:tc>
          <w:tcPr>
            <w:tcW w:type="dxa" w:w="2412"/>
          </w:tcPr>
          <w:p>
            <w:r/>
            <w:r>
              <w:rPr>
                <w:sz w:val="18"/>
              </w:rPr>
              <w:t>Management Analyst</w:t>
            </w:r>
          </w:p>
        </w:tc>
      </w:tr>
      <w:tr>
        <w:tc>
          <w:tcPr>
            <w:tcW w:type="dxa" w:w="2412"/>
          </w:tcPr>
          <w:p>
            <w:r/>
            <w:r>
              <w:rPr>
                <w:sz w:val="18"/>
              </w:rPr>
              <w:t>7</w:t>
            </w:r>
          </w:p>
        </w:tc>
        <w:tc>
          <w:tcPr>
            <w:tcW w:type="dxa" w:w="2412"/>
          </w:tcPr>
          <w:p>
            <w:r/>
            <w:r>
              <w:rPr>
                <w:sz w:val="18"/>
              </w:rPr>
              <w:t>Gate review: consolidation re-evaluation only if four consecutive quarters pass</w:t>
            </w:r>
          </w:p>
        </w:tc>
        <w:tc>
          <w:tcPr>
            <w:tcW w:type="dxa" w:w="2412"/>
          </w:tcPr>
          <w:p>
            <w:pPr>
              <w:jc w:val="right"/>
            </w:pPr>
            <w:r/>
            <w:r>
              <w:rPr>
                <w:sz w:val="18"/>
              </w:rPr>
              <w:t>Month 24</w:t>
            </w:r>
          </w:p>
        </w:tc>
        <w:tc>
          <w:tcPr>
            <w:tcW w:type="dxa" w:w="2412"/>
          </w:tcPr>
          <w:p>
            <w:r/>
            <w:r>
              <w:rPr>
                <w:sz w:val="18"/>
              </w:rPr>
              <w:t>Council</w:t>
            </w:r>
          </w:p>
        </w:tc>
      </w:tr>
    </w:tbl>
    <w:p>
      <w:r>
        <w:br w:type="page"/>
      </w:r>
    </w:p>
    <w:p>
      <w:pPr>
        <w:pStyle w:val="Heading1"/>
      </w:pPr>
      <w:r>
        <w:rPr>
          <w:rFonts w:ascii="Calibri" w:hAnsi="Calibri"/>
          <w:color w:val="1F3864"/>
        </w:rPr>
        <w:t>Appendix A. Sources</w:t>
      </w:r>
    </w:p>
    <w:p>
      <w:pPr>
        <w:pStyle w:val="ListBullet"/>
        <w:spacing w:after="60"/>
      </w:pPr>
      <w:r>
        <w:t>[1] Greenfield_311_Service_Requests_FY2024.csv - 500 service requests, FY2024 (Jul 2023-Jun 2024).</w:t>
      </w:r>
    </w:p>
    <w:p>
      <w:pPr>
        <w:pStyle w:val="ListBullet"/>
        <w:spacing w:after="60"/>
      </w:pPr>
      <w:r>
        <w:t>[2] Greenfield_Dept_Staffing_Overtime_FY2024.xlsx - Staffing_Summary, Monthly_Overtime, Process_Metrics sheets.</w:t>
      </w:r>
    </w:p>
    <w:p>
      <w:pPr>
        <w:pStyle w:val="ListBullet"/>
        <w:spacing w:after="60"/>
      </w:pPr>
      <w:r>
        <w:t>[3] NYC_Expense_Budget_Selected.csv - NYC FY2023-FY2025 expense budgets, PS/OTPS split (FY2024 used).</w:t>
      </w:r>
    </w:p>
    <w:p>
      <w:pPr>
        <w:pStyle w:val="ListBullet"/>
        <w:spacing w:after="60"/>
      </w:pPr>
      <w:r>
        <w:t>[4] NYC_MMR_Selected_Agencies.csv - Mayor's Management Report indicators (NYC Open Data rbed-zzin snapshot), latest reported cycle.</w:t>
      </w:r>
    </w:p>
    <w:p>
      <w:pPr>
        <w:pStyle w:val="ListBullet"/>
        <w:spacing w:after="60"/>
      </w:pPr>
      <w:r>
        <w:t>[5] NYC_Staffing_Trends_2024.pdf - NYS Comptroller, Report 2-2025, "2024 Update on New York City Staffing Trends."</w:t>
      </w:r>
    </w:p>
    <w:p>
      <w:pPr>
        <w:pStyle w:val="ListBullet"/>
        <w:spacing w:after="60"/>
      </w:pPr>
      <w:r>
        <w:t>All computations reproducible from /work/analysis.py and /work/output/analysis_results.json.</w:t>
      </w:r>
    </w:p>
    <w:p>
      <w:pPr>
        <w:pStyle w:val="Heading1"/>
      </w:pPr>
      <w:r>
        <w:rPr>
          <w:rFonts w:ascii="Calibri" w:hAnsi="Calibri"/>
          <w:color w:val="1F3864"/>
        </w:rPr>
        <w:t>Appendix B. 311 Service Requests by Department and Category (FY2024)</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val="clear" w:fill="1F3864"/>
          </w:tcPr>
          <w:p>
            <w:r/>
            <w:r>
              <w:rPr>
                <w:b/>
                <w:color w:val="FFFFFF"/>
                <w:sz w:val="16"/>
              </w:rPr>
              <w:t>Department</w:t>
            </w:r>
          </w:p>
        </w:tc>
        <w:tc>
          <w:tcPr>
            <w:tcW w:type="dxa" w:w="1608"/>
            <w:shd w:val="clear" w:fill="1F3864"/>
          </w:tcPr>
          <w:p>
            <w:r/>
            <w:r>
              <w:rPr>
                <w:b/>
                <w:color w:val="FFFFFF"/>
                <w:sz w:val="16"/>
              </w:rPr>
              <w:t>Category</w:t>
            </w:r>
          </w:p>
        </w:tc>
        <w:tc>
          <w:tcPr>
            <w:tcW w:type="dxa" w:w="1608"/>
            <w:shd w:val="clear" w:fill="1F3864"/>
          </w:tcPr>
          <w:p>
            <w:r/>
            <w:r>
              <w:rPr>
                <w:b/>
                <w:color w:val="FFFFFF"/>
                <w:sz w:val="16"/>
              </w:rPr>
              <w:t>Requests</w:t>
            </w:r>
          </w:p>
        </w:tc>
        <w:tc>
          <w:tcPr>
            <w:tcW w:type="dxa" w:w="1608"/>
            <w:shd w:val="clear" w:fill="1F3864"/>
          </w:tcPr>
          <w:p>
            <w:r/>
            <w:r>
              <w:rPr>
                <w:b/>
                <w:color w:val="FFFFFF"/>
                <w:sz w:val="16"/>
              </w:rPr>
              <w:t>Avg resolution (days)</w:t>
            </w:r>
          </w:p>
        </w:tc>
        <w:tc>
          <w:tcPr>
            <w:tcW w:type="dxa" w:w="1608"/>
            <w:shd w:val="clear" w:fill="1F3864"/>
          </w:tcPr>
          <w:p>
            <w:r/>
            <w:r>
              <w:rPr>
                <w:b/>
                <w:color w:val="FFFFFF"/>
                <w:sz w:val="16"/>
              </w:rPr>
              <w:t>Satisfaction (1-5)</w:t>
            </w:r>
          </w:p>
        </w:tc>
        <w:tc>
          <w:tcPr>
            <w:tcW w:type="dxa" w:w="1608"/>
            <w:shd w:val="clear" w:fill="1F3864"/>
          </w:tcPr>
          <w:p>
            <w:r/>
            <w:r>
              <w:rPr>
                <w:b/>
                <w:color w:val="FFFFFF"/>
                <w:sz w:val="16"/>
              </w:rPr>
              <w:t>Open/in-progress</w:t>
            </w:r>
          </w:p>
        </w:tc>
      </w:tr>
      <w:tr>
        <w:tc>
          <w:tcPr>
            <w:tcW w:type="dxa" w:w="1608"/>
          </w:tcPr>
          <w:p>
            <w:r/>
            <w:r>
              <w:rPr>
                <w:sz w:val="16"/>
              </w:rPr>
              <w:t>DHS</w:t>
            </w:r>
          </w:p>
        </w:tc>
        <w:tc>
          <w:tcPr>
            <w:tcW w:type="dxa" w:w="1608"/>
          </w:tcPr>
          <w:p>
            <w:r/>
            <w:r>
              <w:rPr>
                <w:sz w:val="16"/>
              </w:rPr>
              <w:t>Food Safety</w:t>
            </w:r>
          </w:p>
        </w:tc>
        <w:tc>
          <w:tcPr>
            <w:tcW w:type="dxa" w:w="1608"/>
          </w:tcPr>
          <w:p>
            <w:pPr>
              <w:jc w:val="right"/>
            </w:pPr>
            <w:r/>
            <w:r>
              <w:rPr>
                <w:sz w:val="16"/>
              </w:rPr>
              <w:t>15</w:t>
            </w:r>
          </w:p>
        </w:tc>
        <w:tc>
          <w:tcPr>
            <w:tcW w:type="dxa" w:w="1608"/>
          </w:tcPr>
          <w:p>
            <w:pPr>
              <w:jc w:val="right"/>
            </w:pPr>
            <w:r/>
            <w:r>
              <w:rPr>
                <w:sz w:val="16"/>
              </w:rPr>
              <w:t>10.6</w:t>
            </w:r>
          </w:p>
        </w:tc>
        <w:tc>
          <w:tcPr>
            <w:tcW w:type="dxa" w:w="1608"/>
          </w:tcPr>
          <w:p>
            <w:pPr>
              <w:jc w:val="right"/>
            </w:pPr>
            <w:r/>
            <w:r>
              <w:rPr>
                <w:sz w:val="16"/>
              </w:rPr>
              <w:t>3.88</w:t>
            </w:r>
          </w:p>
        </w:tc>
        <w:tc>
          <w:tcPr>
            <w:tcW w:type="dxa" w:w="1608"/>
          </w:tcPr>
          <w:p>
            <w:pPr>
              <w:jc w:val="right"/>
            </w:pPr>
            <w:r/>
            <w:r>
              <w:rPr>
                <w:sz w:val="16"/>
              </w:rPr>
              <w:t>1</w:t>
            </w:r>
          </w:p>
        </w:tc>
      </w:tr>
      <w:tr>
        <w:tc>
          <w:tcPr>
            <w:tcW w:type="dxa" w:w="1608"/>
          </w:tcPr>
          <w:p>
            <w:r/>
            <w:r>
              <w:rPr>
                <w:sz w:val="16"/>
              </w:rPr>
              <w:t>DHS</w:t>
            </w:r>
          </w:p>
        </w:tc>
        <w:tc>
          <w:tcPr>
            <w:tcW w:type="dxa" w:w="1608"/>
          </w:tcPr>
          <w:p>
            <w:r/>
            <w:r>
              <w:rPr>
                <w:sz w:val="16"/>
              </w:rPr>
              <w:t>Mold/Air Quality</w:t>
            </w:r>
          </w:p>
        </w:tc>
        <w:tc>
          <w:tcPr>
            <w:tcW w:type="dxa" w:w="1608"/>
          </w:tcPr>
          <w:p>
            <w:pPr>
              <w:jc w:val="right"/>
            </w:pPr>
            <w:r/>
            <w:r>
              <w:rPr>
                <w:sz w:val="16"/>
              </w:rPr>
              <w:t>6</w:t>
            </w:r>
          </w:p>
        </w:tc>
        <w:tc>
          <w:tcPr>
            <w:tcW w:type="dxa" w:w="1608"/>
          </w:tcPr>
          <w:p>
            <w:pPr>
              <w:jc w:val="right"/>
            </w:pPr>
            <w:r/>
            <w:r>
              <w:rPr>
                <w:sz w:val="16"/>
              </w:rPr>
              <w:t>15.4</w:t>
            </w:r>
          </w:p>
        </w:tc>
        <w:tc>
          <w:tcPr>
            <w:tcW w:type="dxa" w:w="1608"/>
          </w:tcPr>
          <w:p>
            <w:pPr>
              <w:jc w:val="right"/>
            </w:pPr>
            <w:r/>
            <w:r>
              <w:rPr>
                <w:sz w:val="16"/>
              </w:rPr>
              <w:t>3.33</w:t>
            </w:r>
          </w:p>
        </w:tc>
        <w:tc>
          <w:tcPr>
            <w:tcW w:type="dxa" w:w="1608"/>
          </w:tcPr>
          <w:p>
            <w:pPr>
              <w:jc w:val="right"/>
            </w:pPr>
            <w:r/>
            <w:r>
              <w:rPr>
                <w:sz w:val="16"/>
              </w:rPr>
              <w:t>1</w:t>
            </w:r>
          </w:p>
        </w:tc>
      </w:tr>
      <w:tr>
        <w:tc>
          <w:tcPr>
            <w:tcW w:type="dxa" w:w="1608"/>
          </w:tcPr>
          <w:p>
            <w:r/>
            <w:r>
              <w:rPr>
                <w:sz w:val="16"/>
              </w:rPr>
              <w:t>DHS</w:t>
            </w:r>
          </w:p>
        </w:tc>
        <w:tc>
          <w:tcPr>
            <w:tcW w:type="dxa" w:w="1608"/>
          </w:tcPr>
          <w:p>
            <w:r/>
            <w:r>
              <w:rPr>
                <w:sz w:val="16"/>
              </w:rPr>
              <w:t>Noise Complaint</w:t>
            </w:r>
          </w:p>
        </w:tc>
        <w:tc>
          <w:tcPr>
            <w:tcW w:type="dxa" w:w="1608"/>
          </w:tcPr>
          <w:p>
            <w:pPr>
              <w:jc w:val="right"/>
            </w:pPr>
            <w:r/>
            <w:r>
              <w:rPr>
                <w:sz w:val="16"/>
              </w:rPr>
              <w:t>19</w:t>
            </w:r>
          </w:p>
        </w:tc>
        <w:tc>
          <w:tcPr>
            <w:tcW w:type="dxa" w:w="1608"/>
          </w:tcPr>
          <w:p>
            <w:pPr>
              <w:jc w:val="right"/>
            </w:pPr>
            <w:r/>
            <w:r>
              <w:rPr>
                <w:sz w:val="16"/>
              </w:rPr>
              <w:t>11.1</w:t>
            </w:r>
          </w:p>
        </w:tc>
        <w:tc>
          <w:tcPr>
            <w:tcW w:type="dxa" w:w="1608"/>
          </w:tcPr>
          <w:p>
            <w:pPr>
              <w:jc w:val="right"/>
            </w:pPr>
            <w:r/>
            <w:r>
              <w:rPr>
                <w:sz w:val="16"/>
              </w:rPr>
              <w:t>3.73</w:t>
            </w:r>
          </w:p>
        </w:tc>
        <w:tc>
          <w:tcPr>
            <w:tcW w:type="dxa" w:w="1608"/>
          </w:tcPr>
          <w:p>
            <w:pPr>
              <w:jc w:val="right"/>
            </w:pPr>
            <w:r/>
            <w:r>
              <w:rPr>
                <w:sz w:val="16"/>
              </w:rPr>
              <w:t>4</w:t>
            </w:r>
          </w:p>
        </w:tc>
      </w:tr>
      <w:tr>
        <w:tc>
          <w:tcPr>
            <w:tcW w:type="dxa" w:w="1608"/>
          </w:tcPr>
          <w:p>
            <w:r/>
            <w:r>
              <w:rPr>
                <w:sz w:val="16"/>
              </w:rPr>
              <w:t>DHS</w:t>
            </w:r>
          </w:p>
        </w:tc>
        <w:tc>
          <w:tcPr>
            <w:tcW w:type="dxa" w:w="1608"/>
          </w:tcPr>
          <w:p>
            <w:r/>
            <w:r>
              <w:rPr>
                <w:sz w:val="16"/>
              </w:rPr>
              <w:t>Restaurant Inspection Request</w:t>
            </w:r>
          </w:p>
        </w:tc>
        <w:tc>
          <w:tcPr>
            <w:tcW w:type="dxa" w:w="1608"/>
          </w:tcPr>
          <w:p>
            <w:pPr>
              <w:jc w:val="right"/>
            </w:pPr>
            <w:r/>
            <w:r>
              <w:rPr>
                <w:sz w:val="16"/>
              </w:rPr>
              <w:t>13</w:t>
            </w:r>
          </w:p>
        </w:tc>
        <w:tc>
          <w:tcPr>
            <w:tcW w:type="dxa" w:w="1608"/>
          </w:tcPr>
          <w:p>
            <w:pPr>
              <w:jc w:val="right"/>
            </w:pPr>
            <w:r/>
            <w:r>
              <w:rPr>
                <w:sz w:val="16"/>
              </w:rPr>
              <w:t>18.7</w:t>
            </w:r>
          </w:p>
        </w:tc>
        <w:tc>
          <w:tcPr>
            <w:tcW w:type="dxa" w:w="1608"/>
          </w:tcPr>
          <w:p>
            <w:pPr>
              <w:jc w:val="right"/>
            </w:pPr>
            <w:r/>
            <w:r>
              <w:rPr>
                <w:sz w:val="16"/>
              </w:rPr>
              <w:t>2.57</w:t>
            </w:r>
          </w:p>
        </w:tc>
        <w:tc>
          <w:tcPr>
            <w:tcW w:type="dxa" w:w="1608"/>
          </w:tcPr>
          <w:p>
            <w:pPr>
              <w:jc w:val="right"/>
            </w:pPr>
            <w:r/>
            <w:r>
              <w:rPr>
                <w:sz w:val="16"/>
              </w:rPr>
              <w:t>2</w:t>
            </w:r>
          </w:p>
        </w:tc>
      </w:tr>
      <w:tr>
        <w:tc>
          <w:tcPr>
            <w:tcW w:type="dxa" w:w="1608"/>
          </w:tcPr>
          <w:p>
            <w:r/>
            <w:r>
              <w:rPr>
                <w:sz w:val="16"/>
              </w:rPr>
              <w:t>DHS</w:t>
            </w:r>
          </w:p>
        </w:tc>
        <w:tc>
          <w:tcPr>
            <w:tcW w:type="dxa" w:w="1608"/>
          </w:tcPr>
          <w:p>
            <w:r/>
            <w:r>
              <w:rPr>
                <w:sz w:val="16"/>
              </w:rPr>
              <w:t>Rodent Sighting</w:t>
            </w:r>
          </w:p>
        </w:tc>
        <w:tc>
          <w:tcPr>
            <w:tcW w:type="dxa" w:w="1608"/>
          </w:tcPr>
          <w:p>
            <w:pPr>
              <w:jc w:val="right"/>
            </w:pPr>
            <w:r/>
            <w:r>
              <w:rPr>
                <w:sz w:val="16"/>
              </w:rPr>
              <w:t>15</w:t>
            </w:r>
          </w:p>
        </w:tc>
        <w:tc>
          <w:tcPr>
            <w:tcW w:type="dxa" w:w="1608"/>
          </w:tcPr>
          <w:p>
            <w:pPr>
              <w:jc w:val="right"/>
            </w:pPr>
            <w:r/>
            <w:r>
              <w:rPr>
                <w:sz w:val="16"/>
              </w:rPr>
              <w:t>10.7</w:t>
            </w:r>
          </w:p>
        </w:tc>
        <w:tc>
          <w:tcPr>
            <w:tcW w:type="dxa" w:w="1608"/>
          </w:tcPr>
          <w:p>
            <w:pPr>
              <w:jc w:val="right"/>
            </w:pPr>
            <w:r/>
            <w:r>
              <w:rPr>
                <w:sz w:val="16"/>
              </w:rPr>
              <w:t>4.25</w:t>
            </w:r>
          </w:p>
        </w:tc>
        <w:tc>
          <w:tcPr>
            <w:tcW w:type="dxa" w:w="1608"/>
          </w:tcPr>
          <w:p>
            <w:pPr>
              <w:jc w:val="right"/>
            </w:pPr>
            <w:r/>
            <w:r>
              <w:rPr>
                <w:sz w:val="16"/>
              </w:rPr>
              <w:t>0</w:t>
            </w:r>
          </w:p>
        </w:tc>
      </w:tr>
      <w:tr>
        <w:tc>
          <w:tcPr>
            <w:tcW w:type="dxa" w:w="1608"/>
          </w:tcPr>
          <w:p>
            <w:r/>
            <w:r>
              <w:rPr>
                <w:sz w:val="16"/>
              </w:rPr>
              <w:t>DHS</w:t>
            </w:r>
          </w:p>
        </w:tc>
        <w:tc>
          <w:tcPr>
            <w:tcW w:type="dxa" w:w="1608"/>
          </w:tcPr>
          <w:p>
            <w:r/>
            <w:r>
              <w:rPr>
                <w:sz w:val="16"/>
              </w:rPr>
              <w:t>Unsanitary Conditions</w:t>
            </w:r>
          </w:p>
        </w:tc>
        <w:tc>
          <w:tcPr>
            <w:tcW w:type="dxa" w:w="1608"/>
          </w:tcPr>
          <w:p>
            <w:pPr>
              <w:jc w:val="right"/>
            </w:pPr>
            <w:r/>
            <w:r>
              <w:rPr>
                <w:sz w:val="16"/>
              </w:rPr>
              <w:t>2</w:t>
            </w:r>
          </w:p>
        </w:tc>
        <w:tc>
          <w:tcPr>
            <w:tcW w:type="dxa" w:w="1608"/>
          </w:tcPr>
          <w:p>
            <w:pPr>
              <w:jc w:val="right"/>
            </w:pPr>
            <w:r/>
            <w:r>
              <w:rPr>
                <w:sz w:val="16"/>
              </w:rPr>
              <w:t>4.0</w:t>
            </w:r>
          </w:p>
        </w:tc>
        <w:tc>
          <w:tcPr>
            <w:tcW w:type="dxa" w:w="1608"/>
          </w:tcPr>
          <w:p>
            <w:pPr>
              <w:jc w:val="right"/>
            </w:pPr>
            <w:r/>
            <w:r>
              <w:rPr>
                <w:sz w:val="16"/>
              </w:rPr>
              <w:t>3.5</w:t>
            </w:r>
          </w:p>
        </w:tc>
        <w:tc>
          <w:tcPr>
            <w:tcW w:type="dxa" w:w="1608"/>
          </w:tcPr>
          <w:p>
            <w:pPr>
              <w:jc w:val="right"/>
            </w:pPr>
            <w:r/>
            <w:r>
              <w:rPr>
                <w:sz w:val="16"/>
              </w:rPr>
              <w:t>0</w:t>
            </w:r>
          </w:p>
        </w:tc>
      </w:tr>
      <w:tr>
        <w:tc>
          <w:tcPr>
            <w:tcW w:type="dxa" w:w="1608"/>
          </w:tcPr>
          <w:p>
            <w:r/>
            <w:r>
              <w:rPr>
                <w:sz w:val="16"/>
              </w:rPr>
              <w:t>DHS</w:t>
            </w:r>
          </w:p>
        </w:tc>
        <w:tc>
          <w:tcPr>
            <w:tcW w:type="dxa" w:w="1608"/>
          </w:tcPr>
          <w:p>
            <w:r/>
            <w:r>
              <w:rPr>
                <w:sz w:val="16"/>
              </w:rPr>
              <w:t>Water Quality Concern</w:t>
            </w:r>
          </w:p>
        </w:tc>
        <w:tc>
          <w:tcPr>
            <w:tcW w:type="dxa" w:w="1608"/>
          </w:tcPr>
          <w:p>
            <w:pPr>
              <w:jc w:val="right"/>
            </w:pPr>
            <w:r/>
            <w:r>
              <w:rPr>
                <w:sz w:val="16"/>
              </w:rPr>
              <w:t>5</w:t>
            </w:r>
          </w:p>
        </w:tc>
        <w:tc>
          <w:tcPr>
            <w:tcW w:type="dxa" w:w="1608"/>
          </w:tcPr>
          <w:p>
            <w:pPr>
              <w:jc w:val="right"/>
            </w:pPr>
            <w:r/>
            <w:r>
              <w:rPr>
                <w:sz w:val="16"/>
              </w:rPr>
              <w:t>6.2</w:t>
            </w:r>
          </w:p>
        </w:tc>
        <w:tc>
          <w:tcPr>
            <w:tcW w:type="dxa" w:w="1608"/>
          </w:tcPr>
          <w:p>
            <w:pPr>
              <w:jc w:val="right"/>
            </w:pPr>
            <w:r/>
            <w:r>
              <w:rPr>
                <w:sz w:val="16"/>
              </w:rPr>
              <w:t>4.33</w:t>
            </w:r>
          </w:p>
        </w:tc>
        <w:tc>
          <w:tcPr>
            <w:tcW w:type="dxa" w:w="1608"/>
          </w:tcPr>
          <w:p>
            <w:pPr>
              <w:jc w:val="right"/>
            </w:pPr>
            <w:r/>
            <w:r>
              <w:rPr>
                <w:sz w:val="16"/>
              </w:rPr>
              <w:t>1</w:t>
            </w:r>
          </w:p>
        </w:tc>
      </w:tr>
      <w:tr>
        <w:tc>
          <w:tcPr>
            <w:tcW w:type="dxa" w:w="1608"/>
          </w:tcPr>
          <w:p>
            <w:r/>
            <w:r>
              <w:rPr>
                <w:sz w:val="16"/>
              </w:rPr>
              <w:t>DOT</w:t>
            </w:r>
          </w:p>
        </w:tc>
        <w:tc>
          <w:tcPr>
            <w:tcW w:type="dxa" w:w="1608"/>
          </w:tcPr>
          <w:p>
            <w:r/>
            <w:r>
              <w:rPr>
                <w:sz w:val="16"/>
              </w:rPr>
              <w:t>Crosswalk Faded</w:t>
            </w:r>
          </w:p>
        </w:tc>
        <w:tc>
          <w:tcPr>
            <w:tcW w:type="dxa" w:w="1608"/>
          </w:tcPr>
          <w:p>
            <w:pPr>
              <w:jc w:val="right"/>
            </w:pPr>
            <w:r/>
            <w:r>
              <w:rPr>
                <w:sz w:val="16"/>
              </w:rPr>
              <w:t>6</w:t>
            </w:r>
          </w:p>
        </w:tc>
        <w:tc>
          <w:tcPr>
            <w:tcW w:type="dxa" w:w="1608"/>
          </w:tcPr>
          <w:p>
            <w:pPr>
              <w:jc w:val="right"/>
            </w:pPr>
            <w:r/>
            <w:r>
              <w:rPr>
                <w:sz w:val="16"/>
              </w:rPr>
              <w:t>23.8</w:t>
            </w:r>
          </w:p>
        </w:tc>
        <w:tc>
          <w:tcPr>
            <w:tcW w:type="dxa" w:w="1608"/>
          </w:tcPr>
          <w:p>
            <w:pPr>
              <w:jc w:val="right"/>
            </w:pPr>
            <w:r/>
            <w:r>
              <w:rPr>
                <w:sz w:val="16"/>
              </w:rPr>
              <w:t>2.0</w:t>
            </w:r>
          </w:p>
        </w:tc>
        <w:tc>
          <w:tcPr>
            <w:tcW w:type="dxa" w:w="1608"/>
          </w:tcPr>
          <w:p>
            <w:pPr>
              <w:jc w:val="right"/>
            </w:pPr>
            <w:r/>
            <w:r>
              <w:rPr>
                <w:sz w:val="16"/>
              </w:rPr>
              <w:t>2</w:t>
            </w:r>
          </w:p>
        </w:tc>
      </w:tr>
      <w:tr>
        <w:tc>
          <w:tcPr>
            <w:tcW w:type="dxa" w:w="1608"/>
          </w:tcPr>
          <w:p>
            <w:r/>
            <w:r>
              <w:rPr>
                <w:sz w:val="16"/>
              </w:rPr>
              <w:t>DOT</w:t>
            </w:r>
          </w:p>
        </w:tc>
        <w:tc>
          <w:tcPr>
            <w:tcW w:type="dxa" w:w="1608"/>
          </w:tcPr>
          <w:p>
            <w:r/>
            <w:r>
              <w:rPr>
                <w:sz w:val="16"/>
              </w:rPr>
              <w:t>Pothole</w:t>
            </w:r>
          </w:p>
        </w:tc>
        <w:tc>
          <w:tcPr>
            <w:tcW w:type="dxa" w:w="1608"/>
          </w:tcPr>
          <w:p>
            <w:pPr>
              <w:jc w:val="right"/>
            </w:pPr>
            <w:r/>
            <w:r>
              <w:rPr>
                <w:sz w:val="16"/>
              </w:rPr>
              <w:t>36</w:t>
            </w:r>
          </w:p>
        </w:tc>
        <w:tc>
          <w:tcPr>
            <w:tcW w:type="dxa" w:w="1608"/>
          </w:tcPr>
          <w:p>
            <w:pPr>
              <w:jc w:val="right"/>
            </w:pPr>
            <w:r/>
            <w:r>
              <w:rPr>
                <w:sz w:val="16"/>
              </w:rPr>
              <w:t>14.9</w:t>
            </w:r>
          </w:p>
        </w:tc>
        <w:tc>
          <w:tcPr>
            <w:tcW w:type="dxa" w:w="1608"/>
          </w:tcPr>
          <w:p>
            <w:pPr>
              <w:jc w:val="right"/>
            </w:pPr>
            <w:r/>
            <w:r>
              <w:rPr>
                <w:sz w:val="16"/>
              </w:rPr>
              <w:t>3.33</w:t>
            </w:r>
          </w:p>
        </w:tc>
        <w:tc>
          <w:tcPr>
            <w:tcW w:type="dxa" w:w="1608"/>
          </w:tcPr>
          <w:p>
            <w:pPr>
              <w:jc w:val="right"/>
            </w:pPr>
            <w:r/>
            <w:r>
              <w:rPr>
                <w:sz w:val="16"/>
              </w:rPr>
              <w:t>4</w:t>
            </w:r>
          </w:p>
        </w:tc>
      </w:tr>
      <w:tr>
        <w:tc>
          <w:tcPr>
            <w:tcW w:type="dxa" w:w="1608"/>
          </w:tcPr>
          <w:p>
            <w:r/>
            <w:r>
              <w:rPr>
                <w:sz w:val="16"/>
              </w:rPr>
              <w:t>DOT</w:t>
            </w:r>
          </w:p>
        </w:tc>
        <w:tc>
          <w:tcPr>
            <w:tcW w:type="dxa" w:w="1608"/>
          </w:tcPr>
          <w:p>
            <w:r/>
            <w:r>
              <w:rPr>
                <w:sz w:val="16"/>
              </w:rPr>
              <w:t>Road Debris</w:t>
            </w:r>
          </w:p>
        </w:tc>
        <w:tc>
          <w:tcPr>
            <w:tcW w:type="dxa" w:w="1608"/>
          </w:tcPr>
          <w:p>
            <w:pPr>
              <w:jc w:val="right"/>
            </w:pPr>
            <w:r/>
            <w:r>
              <w:rPr>
                <w:sz w:val="16"/>
              </w:rPr>
              <w:t>9</w:t>
            </w:r>
          </w:p>
        </w:tc>
        <w:tc>
          <w:tcPr>
            <w:tcW w:type="dxa" w:w="1608"/>
          </w:tcPr>
          <w:p>
            <w:pPr>
              <w:jc w:val="right"/>
            </w:pPr>
            <w:r/>
            <w:r>
              <w:rPr>
                <w:sz w:val="16"/>
              </w:rPr>
              <w:t>10.7</w:t>
            </w:r>
          </w:p>
        </w:tc>
        <w:tc>
          <w:tcPr>
            <w:tcW w:type="dxa" w:w="1608"/>
          </w:tcPr>
          <w:p>
            <w:pPr>
              <w:jc w:val="right"/>
            </w:pPr>
            <w:r/>
            <w:r>
              <w:rPr>
                <w:sz w:val="16"/>
              </w:rPr>
              <w:t>3.5</w:t>
            </w:r>
          </w:p>
        </w:tc>
        <w:tc>
          <w:tcPr>
            <w:tcW w:type="dxa" w:w="1608"/>
          </w:tcPr>
          <w:p>
            <w:pPr>
              <w:jc w:val="right"/>
            </w:pPr>
            <w:r/>
            <w:r>
              <w:rPr>
                <w:sz w:val="16"/>
              </w:rPr>
              <w:t>0</w:t>
            </w:r>
          </w:p>
        </w:tc>
      </w:tr>
      <w:tr>
        <w:tc>
          <w:tcPr>
            <w:tcW w:type="dxa" w:w="1608"/>
          </w:tcPr>
          <w:p>
            <w:r/>
            <w:r>
              <w:rPr>
                <w:sz w:val="16"/>
              </w:rPr>
              <w:t>DOT</w:t>
            </w:r>
          </w:p>
        </w:tc>
        <w:tc>
          <w:tcPr>
            <w:tcW w:type="dxa" w:w="1608"/>
          </w:tcPr>
          <w:p>
            <w:r/>
            <w:r>
              <w:rPr>
                <w:sz w:val="16"/>
              </w:rPr>
              <w:t>Sidewalk Damage</w:t>
            </w:r>
          </w:p>
        </w:tc>
        <w:tc>
          <w:tcPr>
            <w:tcW w:type="dxa" w:w="1608"/>
          </w:tcPr>
          <w:p>
            <w:pPr>
              <w:jc w:val="right"/>
            </w:pPr>
            <w:r/>
            <w:r>
              <w:rPr>
                <w:sz w:val="16"/>
              </w:rPr>
              <w:t>20</w:t>
            </w:r>
          </w:p>
        </w:tc>
        <w:tc>
          <w:tcPr>
            <w:tcW w:type="dxa" w:w="1608"/>
          </w:tcPr>
          <w:p>
            <w:pPr>
              <w:jc w:val="right"/>
            </w:pPr>
            <w:r/>
            <w:r>
              <w:rPr>
                <w:sz w:val="16"/>
              </w:rPr>
              <w:t>11.5</w:t>
            </w:r>
          </w:p>
        </w:tc>
        <w:tc>
          <w:tcPr>
            <w:tcW w:type="dxa" w:w="1608"/>
          </w:tcPr>
          <w:p>
            <w:pPr>
              <w:jc w:val="right"/>
            </w:pPr>
            <w:r/>
            <w:r>
              <w:rPr>
                <w:sz w:val="16"/>
              </w:rPr>
              <w:t>3.23</w:t>
            </w:r>
          </w:p>
        </w:tc>
        <w:tc>
          <w:tcPr>
            <w:tcW w:type="dxa" w:w="1608"/>
          </w:tcPr>
          <w:p>
            <w:pPr>
              <w:jc w:val="right"/>
            </w:pPr>
            <w:r/>
            <w:r>
              <w:rPr>
                <w:sz w:val="16"/>
              </w:rPr>
              <w:t>3</w:t>
            </w:r>
          </w:p>
        </w:tc>
      </w:tr>
      <w:tr>
        <w:tc>
          <w:tcPr>
            <w:tcW w:type="dxa" w:w="1608"/>
          </w:tcPr>
          <w:p>
            <w:r/>
            <w:r>
              <w:rPr>
                <w:sz w:val="16"/>
              </w:rPr>
              <w:t>DOT</w:t>
            </w:r>
          </w:p>
        </w:tc>
        <w:tc>
          <w:tcPr>
            <w:tcW w:type="dxa" w:w="1608"/>
          </w:tcPr>
          <w:p>
            <w:r/>
            <w:r>
              <w:rPr>
                <w:sz w:val="16"/>
              </w:rPr>
              <w:t>Street Sign Missing</w:t>
            </w:r>
          </w:p>
        </w:tc>
        <w:tc>
          <w:tcPr>
            <w:tcW w:type="dxa" w:w="1608"/>
          </w:tcPr>
          <w:p>
            <w:pPr>
              <w:jc w:val="right"/>
            </w:pPr>
            <w:r/>
            <w:r>
              <w:rPr>
                <w:sz w:val="16"/>
              </w:rPr>
              <w:t>7</w:t>
            </w:r>
          </w:p>
        </w:tc>
        <w:tc>
          <w:tcPr>
            <w:tcW w:type="dxa" w:w="1608"/>
          </w:tcPr>
          <w:p>
            <w:pPr>
              <w:jc w:val="right"/>
            </w:pPr>
            <w:r/>
            <w:r>
              <w:rPr>
                <w:sz w:val="16"/>
              </w:rPr>
              <w:t>13.1</w:t>
            </w:r>
          </w:p>
        </w:tc>
        <w:tc>
          <w:tcPr>
            <w:tcW w:type="dxa" w:w="1608"/>
          </w:tcPr>
          <w:p>
            <w:pPr>
              <w:jc w:val="right"/>
            </w:pPr>
            <w:r/>
            <w:r>
              <w:rPr>
                <w:sz w:val="16"/>
              </w:rPr>
              <w:t>3.43</w:t>
            </w:r>
          </w:p>
        </w:tc>
        <w:tc>
          <w:tcPr>
            <w:tcW w:type="dxa" w:w="1608"/>
          </w:tcPr>
          <w:p>
            <w:pPr>
              <w:jc w:val="right"/>
            </w:pPr>
            <w:r/>
            <w:r>
              <w:rPr>
                <w:sz w:val="16"/>
              </w:rPr>
              <w:t>0</w:t>
            </w:r>
          </w:p>
        </w:tc>
      </w:tr>
      <w:tr>
        <w:tc>
          <w:tcPr>
            <w:tcW w:type="dxa" w:w="1608"/>
          </w:tcPr>
          <w:p>
            <w:r/>
            <w:r>
              <w:rPr>
                <w:sz w:val="16"/>
              </w:rPr>
              <w:t>DOT</w:t>
            </w:r>
          </w:p>
        </w:tc>
        <w:tc>
          <w:tcPr>
            <w:tcW w:type="dxa" w:w="1608"/>
          </w:tcPr>
          <w:p>
            <w:r/>
            <w:r>
              <w:rPr>
                <w:sz w:val="16"/>
              </w:rPr>
              <w:t>Streetlight Outage</w:t>
            </w:r>
          </w:p>
        </w:tc>
        <w:tc>
          <w:tcPr>
            <w:tcW w:type="dxa" w:w="1608"/>
          </w:tcPr>
          <w:p>
            <w:pPr>
              <w:jc w:val="right"/>
            </w:pPr>
            <w:r/>
            <w:r>
              <w:rPr>
                <w:sz w:val="16"/>
              </w:rPr>
              <w:t>31</w:t>
            </w:r>
          </w:p>
        </w:tc>
        <w:tc>
          <w:tcPr>
            <w:tcW w:type="dxa" w:w="1608"/>
          </w:tcPr>
          <w:p>
            <w:pPr>
              <w:jc w:val="right"/>
            </w:pPr>
            <w:r/>
            <w:r>
              <w:rPr>
                <w:sz w:val="16"/>
              </w:rPr>
              <w:t>13.3</w:t>
            </w:r>
          </w:p>
        </w:tc>
        <w:tc>
          <w:tcPr>
            <w:tcW w:type="dxa" w:w="1608"/>
          </w:tcPr>
          <w:p>
            <w:pPr>
              <w:jc w:val="right"/>
            </w:pPr>
            <w:r/>
            <w:r>
              <w:rPr>
                <w:sz w:val="16"/>
              </w:rPr>
              <w:t>3.62</w:t>
            </w:r>
          </w:p>
        </w:tc>
        <w:tc>
          <w:tcPr>
            <w:tcW w:type="dxa" w:w="1608"/>
          </w:tcPr>
          <w:p>
            <w:pPr>
              <w:jc w:val="right"/>
            </w:pPr>
            <w:r/>
            <w:r>
              <w:rPr>
                <w:sz w:val="16"/>
              </w:rPr>
              <w:t>3</w:t>
            </w:r>
          </w:p>
        </w:tc>
      </w:tr>
      <w:tr>
        <w:tc>
          <w:tcPr>
            <w:tcW w:type="dxa" w:w="1608"/>
          </w:tcPr>
          <w:p>
            <w:r/>
            <w:r>
              <w:rPr>
                <w:sz w:val="16"/>
              </w:rPr>
              <w:t>DOT</w:t>
            </w:r>
          </w:p>
        </w:tc>
        <w:tc>
          <w:tcPr>
            <w:tcW w:type="dxa" w:w="1608"/>
          </w:tcPr>
          <w:p>
            <w:r/>
            <w:r>
              <w:rPr>
                <w:sz w:val="16"/>
              </w:rPr>
              <w:t>Traffic Signal Malfunction</w:t>
            </w:r>
          </w:p>
        </w:tc>
        <w:tc>
          <w:tcPr>
            <w:tcW w:type="dxa" w:w="1608"/>
          </w:tcPr>
          <w:p>
            <w:pPr>
              <w:jc w:val="right"/>
            </w:pPr>
            <w:r/>
            <w:r>
              <w:rPr>
                <w:sz w:val="16"/>
              </w:rPr>
              <w:t>17</w:t>
            </w:r>
          </w:p>
        </w:tc>
        <w:tc>
          <w:tcPr>
            <w:tcW w:type="dxa" w:w="1608"/>
          </w:tcPr>
          <w:p>
            <w:pPr>
              <w:jc w:val="right"/>
            </w:pPr>
            <w:r/>
            <w:r>
              <w:rPr>
                <w:sz w:val="16"/>
              </w:rPr>
              <w:t>13.1</w:t>
            </w:r>
          </w:p>
        </w:tc>
        <w:tc>
          <w:tcPr>
            <w:tcW w:type="dxa" w:w="1608"/>
          </w:tcPr>
          <w:p>
            <w:pPr>
              <w:jc w:val="right"/>
            </w:pPr>
            <w:r/>
            <w:r>
              <w:rPr>
                <w:sz w:val="16"/>
              </w:rPr>
              <w:t>3.3</w:t>
            </w:r>
          </w:p>
        </w:tc>
        <w:tc>
          <w:tcPr>
            <w:tcW w:type="dxa" w:w="1608"/>
          </w:tcPr>
          <w:p>
            <w:pPr>
              <w:jc w:val="right"/>
            </w:pPr>
            <w:r/>
            <w:r>
              <w:rPr>
                <w:sz w:val="16"/>
              </w:rPr>
              <w:t>2</w:t>
            </w:r>
          </w:p>
        </w:tc>
      </w:tr>
      <w:tr>
        <w:tc>
          <w:tcPr>
            <w:tcW w:type="dxa" w:w="1608"/>
          </w:tcPr>
          <w:p>
            <w:r/>
            <w:r>
              <w:rPr>
                <w:sz w:val="16"/>
              </w:rPr>
              <w:t>DPR</w:t>
            </w:r>
          </w:p>
        </w:tc>
        <w:tc>
          <w:tcPr>
            <w:tcW w:type="dxa" w:w="1608"/>
          </w:tcPr>
          <w:p>
            <w:r/>
            <w:r>
              <w:rPr>
                <w:sz w:val="16"/>
              </w:rPr>
              <w:t>Bench/Fountain Repair</w:t>
            </w:r>
          </w:p>
        </w:tc>
        <w:tc>
          <w:tcPr>
            <w:tcW w:type="dxa" w:w="1608"/>
          </w:tcPr>
          <w:p>
            <w:pPr>
              <w:jc w:val="right"/>
            </w:pPr>
            <w:r/>
            <w:r>
              <w:rPr>
                <w:sz w:val="16"/>
              </w:rPr>
              <w:t>8</w:t>
            </w:r>
          </w:p>
        </w:tc>
        <w:tc>
          <w:tcPr>
            <w:tcW w:type="dxa" w:w="1608"/>
          </w:tcPr>
          <w:p>
            <w:pPr>
              <w:jc w:val="right"/>
            </w:pPr>
            <w:r/>
            <w:r>
              <w:rPr>
                <w:sz w:val="16"/>
              </w:rPr>
              <w:t>15.8</w:t>
            </w:r>
          </w:p>
        </w:tc>
        <w:tc>
          <w:tcPr>
            <w:tcW w:type="dxa" w:w="1608"/>
          </w:tcPr>
          <w:p>
            <w:pPr>
              <w:jc w:val="right"/>
            </w:pPr>
            <w:r/>
            <w:r>
              <w:rPr>
                <w:sz w:val="16"/>
              </w:rPr>
              <w:t>2.8</w:t>
            </w:r>
          </w:p>
        </w:tc>
        <w:tc>
          <w:tcPr>
            <w:tcW w:type="dxa" w:w="1608"/>
          </w:tcPr>
          <w:p>
            <w:pPr>
              <w:jc w:val="right"/>
            </w:pPr>
            <w:r/>
            <w:r>
              <w:rPr>
                <w:sz w:val="16"/>
              </w:rPr>
              <w:t>2</w:t>
            </w:r>
          </w:p>
        </w:tc>
      </w:tr>
      <w:tr>
        <w:tc>
          <w:tcPr>
            <w:tcW w:type="dxa" w:w="1608"/>
          </w:tcPr>
          <w:p>
            <w:r/>
            <w:r>
              <w:rPr>
                <w:sz w:val="16"/>
              </w:rPr>
              <w:t>DPR</w:t>
            </w:r>
          </w:p>
        </w:tc>
        <w:tc>
          <w:tcPr>
            <w:tcW w:type="dxa" w:w="1608"/>
          </w:tcPr>
          <w:p>
            <w:r/>
            <w:r>
              <w:rPr>
                <w:sz w:val="16"/>
              </w:rPr>
              <w:t>Fallen Tree</w:t>
            </w:r>
          </w:p>
        </w:tc>
        <w:tc>
          <w:tcPr>
            <w:tcW w:type="dxa" w:w="1608"/>
          </w:tcPr>
          <w:p>
            <w:pPr>
              <w:jc w:val="right"/>
            </w:pPr>
            <w:r/>
            <w:r>
              <w:rPr>
                <w:sz w:val="16"/>
              </w:rPr>
              <w:t>17</w:t>
            </w:r>
          </w:p>
        </w:tc>
        <w:tc>
          <w:tcPr>
            <w:tcW w:type="dxa" w:w="1608"/>
          </w:tcPr>
          <w:p>
            <w:pPr>
              <w:jc w:val="right"/>
            </w:pPr>
            <w:r/>
            <w:r>
              <w:rPr>
                <w:sz w:val="16"/>
              </w:rPr>
              <w:t>10.1</w:t>
            </w:r>
          </w:p>
        </w:tc>
        <w:tc>
          <w:tcPr>
            <w:tcW w:type="dxa" w:w="1608"/>
          </w:tcPr>
          <w:p>
            <w:pPr>
              <w:jc w:val="right"/>
            </w:pPr>
            <w:r/>
            <w:r>
              <w:rPr>
                <w:sz w:val="16"/>
              </w:rPr>
              <w:t>4.0</w:t>
            </w:r>
          </w:p>
        </w:tc>
        <w:tc>
          <w:tcPr>
            <w:tcW w:type="dxa" w:w="1608"/>
          </w:tcPr>
          <w:p>
            <w:pPr>
              <w:jc w:val="right"/>
            </w:pPr>
            <w:r/>
            <w:r>
              <w:rPr>
                <w:sz w:val="16"/>
              </w:rPr>
              <w:t>1</w:t>
            </w:r>
          </w:p>
        </w:tc>
      </w:tr>
      <w:tr>
        <w:tc>
          <w:tcPr>
            <w:tcW w:type="dxa" w:w="1608"/>
          </w:tcPr>
          <w:p>
            <w:r/>
            <w:r>
              <w:rPr>
                <w:sz w:val="16"/>
              </w:rPr>
              <w:t>DPR</w:t>
            </w:r>
          </w:p>
        </w:tc>
        <w:tc>
          <w:tcPr>
            <w:tcW w:type="dxa" w:w="1608"/>
          </w:tcPr>
          <w:p>
            <w:r/>
            <w:r>
              <w:rPr>
                <w:sz w:val="16"/>
              </w:rPr>
              <w:t>Graffiti Removal</w:t>
            </w:r>
          </w:p>
        </w:tc>
        <w:tc>
          <w:tcPr>
            <w:tcW w:type="dxa" w:w="1608"/>
          </w:tcPr>
          <w:p>
            <w:pPr>
              <w:jc w:val="right"/>
            </w:pPr>
            <w:r/>
            <w:r>
              <w:rPr>
                <w:sz w:val="16"/>
              </w:rPr>
              <w:t>16</w:t>
            </w:r>
          </w:p>
        </w:tc>
        <w:tc>
          <w:tcPr>
            <w:tcW w:type="dxa" w:w="1608"/>
          </w:tcPr>
          <w:p>
            <w:pPr>
              <w:jc w:val="right"/>
            </w:pPr>
            <w:r/>
            <w:r>
              <w:rPr>
                <w:sz w:val="16"/>
              </w:rPr>
              <w:t>12.7</w:t>
            </w:r>
          </w:p>
        </w:tc>
        <w:tc>
          <w:tcPr>
            <w:tcW w:type="dxa" w:w="1608"/>
          </w:tcPr>
          <w:p>
            <w:pPr>
              <w:jc w:val="right"/>
            </w:pPr>
            <w:r/>
            <w:r>
              <w:rPr>
                <w:sz w:val="16"/>
              </w:rPr>
              <w:t>3.12</w:t>
            </w:r>
          </w:p>
        </w:tc>
        <w:tc>
          <w:tcPr>
            <w:tcW w:type="dxa" w:w="1608"/>
          </w:tcPr>
          <w:p>
            <w:pPr>
              <w:jc w:val="right"/>
            </w:pPr>
            <w:r/>
            <w:r>
              <w:rPr>
                <w:sz w:val="16"/>
              </w:rPr>
              <w:t>5</w:t>
            </w:r>
          </w:p>
        </w:tc>
      </w:tr>
      <w:tr>
        <w:tc>
          <w:tcPr>
            <w:tcW w:type="dxa" w:w="1608"/>
          </w:tcPr>
          <w:p>
            <w:r/>
            <w:r>
              <w:rPr>
                <w:sz w:val="16"/>
              </w:rPr>
              <w:t>DPR</w:t>
            </w:r>
          </w:p>
        </w:tc>
        <w:tc>
          <w:tcPr>
            <w:tcW w:type="dxa" w:w="1608"/>
          </w:tcPr>
          <w:p>
            <w:r/>
            <w:r>
              <w:rPr>
                <w:sz w:val="16"/>
              </w:rPr>
              <w:t>Overgrown Vegetation</w:t>
            </w:r>
          </w:p>
        </w:tc>
        <w:tc>
          <w:tcPr>
            <w:tcW w:type="dxa" w:w="1608"/>
          </w:tcPr>
          <w:p>
            <w:pPr>
              <w:jc w:val="right"/>
            </w:pPr>
            <w:r/>
            <w:r>
              <w:rPr>
                <w:sz w:val="16"/>
              </w:rPr>
              <w:t>9</w:t>
            </w:r>
          </w:p>
        </w:tc>
        <w:tc>
          <w:tcPr>
            <w:tcW w:type="dxa" w:w="1608"/>
          </w:tcPr>
          <w:p>
            <w:pPr>
              <w:jc w:val="right"/>
            </w:pPr>
            <w:r/>
            <w:r>
              <w:rPr>
                <w:sz w:val="16"/>
              </w:rPr>
              <w:t>10.8</w:t>
            </w:r>
          </w:p>
        </w:tc>
        <w:tc>
          <w:tcPr>
            <w:tcW w:type="dxa" w:w="1608"/>
          </w:tcPr>
          <w:p>
            <w:pPr>
              <w:jc w:val="right"/>
            </w:pPr>
            <w:r/>
            <w:r>
              <w:rPr>
                <w:sz w:val="16"/>
              </w:rPr>
              <w:t>3.4</w:t>
            </w:r>
          </w:p>
        </w:tc>
        <w:tc>
          <w:tcPr>
            <w:tcW w:type="dxa" w:w="1608"/>
          </w:tcPr>
          <w:p>
            <w:pPr>
              <w:jc w:val="right"/>
            </w:pPr>
            <w:r/>
            <w:r>
              <w:rPr>
                <w:sz w:val="16"/>
              </w:rPr>
              <w:t>1</w:t>
            </w:r>
          </w:p>
        </w:tc>
      </w:tr>
      <w:tr>
        <w:tc>
          <w:tcPr>
            <w:tcW w:type="dxa" w:w="1608"/>
          </w:tcPr>
          <w:p>
            <w:r/>
            <w:r>
              <w:rPr>
                <w:sz w:val="16"/>
              </w:rPr>
              <w:t>DPR</w:t>
            </w:r>
          </w:p>
        </w:tc>
        <w:tc>
          <w:tcPr>
            <w:tcW w:type="dxa" w:w="1608"/>
          </w:tcPr>
          <w:p>
            <w:r/>
            <w:r>
              <w:rPr>
                <w:sz w:val="16"/>
              </w:rPr>
              <w:t>Park Maintenance</w:t>
            </w:r>
          </w:p>
        </w:tc>
        <w:tc>
          <w:tcPr>
            <w:tcW w:type="dxa" w:w="1608"/>
          </w:tcPr>
          <w:p>
            <w:pPr>
              <w:jc w:val="right"/>
            </w:pPr>
            <w:r/>
            <w:r>
              <w:rPr>
                <w:sz w:val="16"/>
              </w:rPr>
              <w:t>26</w:t>
            </w:r>
          </w:p>
        </w:tc>
        <w:tc>
          <w:tcPr>
            <w:tcW w:type="dxa" w:w="1608"/>
          </w:tcPr>
          <w:p>
            <w:pPr>
              <w:jc w:val="right"/>
            </w:pPr>
            <w:r/>
            <w:r>
              <w:rPr>
                <w:sz w:val="16"/>
              </w:rPr>
              <w:t>16.0</w:t>
            </w:r>
          </w:p>
        </w:tc>
        <w:tc>
          <w:tcPr>
            <w:tcW w:type="dxa" w:w="1608"/>
          </w:tcPr>
          <w:p>
            <w:pPr>
              <w:jc w:val="right"/>
            </w:pPr>
            <w:r/>
            <w:r>
              <w:rPr>
                <w:sz w:val="16"/>
              </w:rPr>
              <w:t>3.54</w:t>
            </w:r>
          </w:p>
        </w:tc>
        <w:tc>
          <w:tcPr>
            <w:tcW w:type="dxa" w:w="1608"/>
          </w:tcPr>
          <w:p>
            <w:pPr>
              <w:jc w:val="right"/>
            </w:pPr>
            <w:r/>
            <w:r>
              <w:rPr>
                <w:sz w:val="16"/>
              </w:rPr>
              <w:t>4</w:t>
            </w:r>
          </w:p>
        </w:tc>
      </w:tr>
      <w:tr>
        <w:tc>
          <w:tcPr>
            <w:tcW w:type="dxa" w:w="1608"/>
          </w:tcPr>
          <w:p>
            <w:r/>
            <w:r>
              <w:rPr>
                <w:sz w:val="16"/>
              </w:rPr>
              <w:t>DPR</w:t>
            </w:r>
          </w:p>
        </w:tc>
        <w:tc>
          <w:tcPr>
            <w:tcW w:type="dxa" w:w="1608"/>
          </w:tcPr>
          <w:p>
            <w:r/>
            <w:r>
              <w:rPr>
                <w:sz w:val="16"/>
              </w:rPr>
              <w:t>Playground Equipment Damage</w:t>
            </w:r>
          </w:p>
        </w:tc>
        <w:tc>
          <w:tcPr>
            <w:tcW w:type="dxa" w:w="1608"/>
          </w:tcPr>
          <w:p>
            <w:pPr>
              <w:jc w:val="right"/>
            </w:pPr>
            <w:r/>
            <w:r>
              <w:rPr>
                <w:sz w:val="16"/>
              </w:rPr>
              <w:t>19</w:t>
            </w:r>
          </w:p>
        </w:tc>
        <w:tc>
          <w:tcPr>
            <w:tcW w:type="dxa" w:w="1608"/>
          </w:tcPr>
          <w:p>
            <w:pPr>
              <w:jc w:val="right"/>
            </w:pPr>
            <w:r/>
            <w:r>
              <w:rPr>
                <w:sz w:val="16"/>
              </w:rPr>
              <w:t>11.3</w:t>
            </w:r>
          </w:p>
        </w:tc>
        <w:tc>
          <w:tcPr>
            <w:tcW w:type="dxa" w:w="1608"/>
          </w:tcPr>
          <w:p>
            <w:pPr>
              <w:jc w:val="right"/>
            </w:pPr>
            <w:r/>
            <w:r>
              <w:rPr>
                <w:sz w:val="16"/>
              </w:rPr>
              <w:t>3.77</w:t>
            </w:r>
          </w:p>
        </w:tc>
        <w:tc>
          <w:tcPr>
            <w:tcW w:type="dxa" w:w="1608"/>
          </w:tcPr>
          <w:p>
            <w:pPr>
              <w:jc w:val="right"/>
            </w:pPr>
            <w:r/>
            <w:r>
              <w:rPr>
                <w:sz w:val="16"/>
              </w:rPr>
              <w:t>1</w:t>
            </w:r>
          </w:p>
        </w:tc>
      </w:tr>
      <w:tr>
        <w:tc>
          <w:tcPr>
            <w:tcW w:type="dxa" w:w="1608"/>
          </w:tcPr>
          <w:p>
            <w:r/>
            <w:r>
              <w:rPr>
                <w:sz w:val="16"/>
              </w:rPr>
              <w:t>DPR</w:t>
            </w:r>
          </w:p>
        </w:tc>
        <w:tc>
          <w:tcPr>
            <w:tcW w:type="dxa" w:w="1608"/>
          </w:tcPr>
          <w:p>
            <w:r/>
            <w:r>
              <w:rPr>
                <w:sz w:val="16"/>
              </w:rPr>
              <w:t>Trail Obstruction</w:t>
            </w:r>
          </w:p>
        </w:tc>
        <w:tc>
          <w:tcPr>
            <w:tcW w:type="dxa" w:w="1608"/>
          </w:tcPr>
          <w:p>
            <w:pPr>
              <w:jc w:val="right"/>
            </w:pPr>
            <w:r/>
            <w:r>
              <w:rPr>
                <w:sz w:val="16"/>
              </w:rPr>
              <w:t>4</w:t>
            </w:r>
          </w:p>
        </w:tc>
        <w:tc>
          <w:tcPr>
            <w:tcW w:type="dxa" w:w="1608"/>
          </w:tcPr>
          <w:p>
            <w:pPr>
              <w:jc w:val="right"/>
            </w:pPr>
            <w:r/>
            <w:r>
              <w:rPr>
                <w:sz w:val="16"/>
              </w:rPr>
              <w:t>4.0</w:t>
            </w:r>
          </w:p>
        </w:tc>
        <w:tc>
          <w:tcPr>
            <w:tcW w:type="dxa" w:w="1608"/>
          </w:tcPr>
          <w:p>
            <w:pPr>
              <w:jc w:val="right"/>
            </w:pPr>
            <w:r/>
            <w:r>
              <w:rPr>
                <w:sz w:val="16"/>
              </w:rPr>
              <w:t>3.67</w:t>
            </w:r>
          </w:p>
        </w:tc>
        <w:tc>
          <w:tcPr>
            <w:tcW w:type="dxa" w:w="1608"/>
          </w:tcPr>
          <w:p>
            <w:pPr>
              <w:jc w:val="right"/>
            </w:pPr>
            <w:r/>
            <w:r>
              <w:rPr>
                <w:sz w:val="16"/>
              </w:rPr>
              <w:t>1</w:t>
            </w:r>
          </w:p>
        </w:tc>
      </w:tr>
      <w:tr>
        <w:tc>
          <w:tcPr>
            <w:tcW w:type="dxa" w:w="1608"/>
          </w:tcPr>
          <w:p>
            <w:r/>
            <w:r>
              <w:rPr>
                <w:sz w:val="16"/>
              </w:rPr>
              <w:t>DSNY</w:t>
            </w:r>
          </w:p>
        </w:tc>
        <w:tc>
          <w:tcPr>
            <w:tcW w:type="dxa" w:w="1608"/>
          </w:tcPr>
          <w:p>
            <w:r/>
            <w:r>
              <w:rPr>
                <w:sz w:val="16"/>
              </w:rPr>
              <w:t>Bulk Item Pickup</w:t>
            </w:r>
          </w:p>
        </w:tc>
        <w:tc>
          <w:tcPr>
            <w:tcW w:type="dxa" w:w="1608"/>
          </w:tcPr>
          <w:p>
            <w:pPr>
              <w:jc w:val="right"/>
            </w:pPr>
            <w:r/>
            <w:r>
              <w:rPr>
                <w:sz w:val="16"/>
              </w:rPr>
              <w:t>22</w:t>
            </w:r>
          </w:p>
        </w:tc>
        <w:tc>
          <w:tcPr>
            <w:tcW w:type="dxa" w:w="1608"/>
          </w:tcPr>
          <w:p>
            <w:pPr>
              <w:jc w:val="right"/>
            </w:pPr>
            <w:r/>
            <w:r>
              <w:rPr>
                <w:sz w:val="16"/>
              </w:rPr>
              <w:t>9.7</w:t>
            </w:r>
          </w:p>
        </w:tc>
        <w:tc>
          <w:tcPr>
            <w:tcW w:type="dxa" w:w="1608"/>
          </w:tcPr>
          <w:p>
            <w:pPr>
              <w:jc w:val="right"/>
            </w:pPr>
            <w:r/>
            <w:r>
              <w:rPr>
                <w:sz w:val="16"/>
              </w:rPr>
              <w:t>3.91</w:t>
            </w:r>
          </w:p>
        </w:tc>
        <w:tc>
          <w:tcPr>
            <w:tcW w:type="dxa" w:w="1608"/>
          </w:tcPr>
          <w:p>
            <w:pPr>
              <w:jc w:val="right"/>
            </w:pPr>
            <w:r/>
            <w:r>
              <w:rPr>
                <w:sz w:val="16"/>
              </w:rPr>
              <w:t>4</w:t>
            </w:r>
          </w:p>
        </w:tc>
      </w:tr>
      <w:tr>
        <w:tc>
          <w:tcPr>
            <w:tcW w:type="dxa" w:w="1608"/>
          </w:tcPr>
          <w:p>
            <w:r/>
            <w:r>
              <w:rPr>
                <w:sz w:val="16"/>
              </w:rPr>
              <w:t>DSNY</w:t>
            </w:r>
          </w:p>
        </w:tc>
        <w:tc>
          <w:tcPr>
            <w:tcW w:type="dxa" w:w="1608"/>
          </w:tcPr>
          <w:p>
            <w:r/>
            <w:r>
              <w:rPr>
                <w:sz w:val="16"/>
              </w:rPr>
              <w:t>Illegal Dumping</w:t>
            </w:r>
          </w:p>
        </w:tc>
        <w:tc>
          <w:tcPr>
            <w:tcW w:type="dxa" w:w="1608"/>
          </w:tcPr>
          <w:p>
            <w:pPr>
              <w:jc w:val="right"/>
            </w:pPr>
            <w:r/>
            <w:r>
              <w:rPr>
                <w:sz w:val="16"/>
              </w:rPr>
              <w:t>23</w:t>
            </w:r>
          </w:p>
        </w:tc>
        <w:tc>
          <w:tcPr>
            <w:tcW w:type="dxa" w:w="1608"/>
          </w:tcPr>
          <w:p>
            <w:pPr>
              <w:jc w:val="right"/>
            </w:pPr>
            <w:r/>
            <w:r>
              <w:rPr>
                <w:sz w:val="16"/>
              </w:rPr>
              <w:t>9.4</w:t>
            </w:r>
          </w:p>
        </w:tc>
        <w:tc>
          <w:tcPr>
            <w:tcW w:type="dxa" w:w="1608"/>
          </w:tcPr>
          <w:p>
            <w:pPr>
              <w:jc w:val="right"/>
            </w:pPr>
            <w:r/>
            <w:r>
              <w:rPr>
                <w:sz w:val="16"/>
              </w:rPr>
              <w:t>3.8</w:t>
            </w:r>
          </w:p>
        </w:tc>
        <w:tc>
          <w:tcPr>
            <w:tcW w:type="dxa" w:w="1608"/>
          </w:tcPr>
          <w:p>
            <w:pPr>
              <w:jc w:val="right"/>
            </w:pPr>
            <w:r/>
            <w:r>
              <w:rPr>
                <w:sz w:val="16"/>
              </w:rPr>
              <w:t>1</w:t>
            </w:r>
          </w:p>
        </w:tc>
      </w:tr>
      <w:tr>
        <w:tc>
          <w:tcPr>
            <w:tcW w:type="dxa" w:w="1608"/>
          </w:tcPr>
          <w:p>
            <w:r/>
            <w:r>
              <w:rPr>
                <w:sz w:val="16"/>
              </w:rPr>
              <w:t>DSNY</w:t>
            </w:r>
          </w:p>
        </w:tc>
        <w:tc>
          <w:tcPr>
            <w:tcW w:type="dxa" w:w="1608"/>
          </w:tcPr>
          <w:p>
            <w:r/>
            <w:r>
              <w:rPr>
                <w:sz w:val="16"/>
              </w:rPr>
              <w:t>Litter on Street</w:t>
            </w:r>
          </w:p>
        </w:tc>
        <w:tc>
          <w:tcPr>
            <w:tcW w:type="dxa" w:w="1608"/>
          </w:tcPr>
          <w:p>
            <w:pPr>
              <w:jc w:val="right"/>
            </w:pPr>
            <w:r/>
            <w:r>
              <w:rPr>
                <w:sz w:val="16"/>
              </w:rPr>
              <w:t>11</w:t>
            </w:r>
          </w:p>
        </w:tc>
        <w:tc>
          <w:tcPr>
            <w:tcW w:type="dxa" w:w="1608"/>
          </w:tcPr>
          <w:p>
            <w:pPr>
              <w:jc w:val="right"/>
            </w:pPr>
            <w:r/>
            <w:r>
              <w:rPr>
                <w:sz w:val="16"/>
              </w:rPr>
              <w:t>6.6</w:t>
            </w:r>
          </w:p>
        </w:tc>
        <w:tc>
          <w:tcPr>
            <w:tcW w:type="dxa" w:w="1608"/>
          </w:tcPr>
          <w:p>
            <w:pPr>
              <w:jc w:val="right"/>
            </w:pPr>
            <w:r/>
            <w:r>
              <w:rPr>
                <w:sz w:val="16"/>
              </w:rPr>
              <w:t>3.5</w:t>
            </w:r>
          </w:p>
        </w:tc>
        <w:tc>
          <w:tcPr>
            <w:tcW w:type="dxa" w:w="1608"/>
          </w:tcPr>
          <w:p>
            <w:pPr>
              <w:jc w:val="right"/>
            </w:pPr>
            <w:r/>
            <w:r>
              <w:rPr>
                <w:sz w:val="16"/>
              </w:rPr>
              <w:t>2</w:t>
            </w:r>
          </w:p>
        </w:tc>
      </w:tr>
      <w:tr>
        <w:tc>
          <w:tcPr>
            <w:tcW w:type="dxa" w:w="1608"/>
          </w:tcPr>
          <w:p>
            <w:r/>
            <w:r>
              <w:rPr>
                <w:sz w:val="16"/>
              </w:rPr>
              <w:t>DSNY</w:t>
            </w:r>
          </w:p>
        </w:tc>
        <w:tc>
          <w:tcPr>
            <w:tcW w:type="dxa" w:w="1608"/>
          </w:tcPr>
          <w:p>
            <w:r/>
            <w:r>
              <w:rPr>
                <w:sz w:val="16"/>
              </w:rPr>
              <w:t>Missed Pickup</w:t>
            </w:r>
          </w:p>
        </w:tc>
        <w:tc>
          <w:tcPr>
            <w:tcW w:type="dxa" w:w="1608"/>
          </w:tcPr>
          <w:p>
            <w:pPr>
              <w:jc w:val="right"/>
            </w:pPr>
            <w:r/>
            <w:r>
              <w:rPr>
                <w:sz w:val="16"/>
              </w:rPr>
              <w:t>43</w:t>
            </w:r>
          </w:p>
        </w:tc>
        <w:tc>
          <w:tcPr>
            <w:tcW w:type="dxa" w:w="1608"/>
          </w:tcPr>
          <w:p>
            <w:pPr>
              <w:jc w:val="right"/>
            </w:pPr>
            <w:r/>
            <w:r>
              <w:rPr>
                <w:sz w:val="16"/>
              </w:rPr>
              <w:t>11.0</w:t>
            </w:r>
          </w:p>
        </w:tc>
        <w:tc>
          <w:tcPr>
            <w:tcW w:type="dxa" w:w="1608"/>
          </w:tcPr>
          <w:p>
            <w:pPr>
              <w:jc w:val="right"/>
            </w:pPr>
            <w:r/>
            <w:r>
              <w:rPr>
                <w:sz w:val="16"/>
              </w:rPr>
              <w:t>3.36</w:t>
            </w:r>
          </w:p>
        </w:tc>
        <w:tc>
          <w:tcPr>
            <w:tcW w:type="dxa" w:w="1608"/>
          </w:tcPr>
          <w:p>
            <w:pPr>
              <w:jc w:val="right"/>
            </w:pPr>
            <w:r/>
            <w:r>
              <w:rPr>
                <w:sz w:val="16"/>
              </w:rPr>
              <w:t>3</w:t>
            </w:r>
          </w:p>
        </w:tc>
      </w:tr>
      <w:tr>
        <w:tc>
          <w:tcPr>
            <w:tcW w:type="dxa" w:w="1608"/>
          </w:tcPr>
          <w:p>
            <w:r/>
            <w:r>
              <w:rPr>
                <w:sz w:val="16"/>
              </w:rPr>
              <w:t>DSNY</w:t>
            </w:r>
          </w:p>
        </w:tc>
        <w:tc>
          <w:tcPr>
            <w:tcW w:type="dxa" w:w="1608"/>
          </w:tcPr>
          <w:p>
            <w:r/>
            <w:r>
              <w:rPr>
                <w:sz w:val="16"/>
              </w:rPr>
              <w:t>Overflowing Bin</w:t>
            </w:r>
          </w:p>
        </w:tc>
        <w:tc>
          <w:tcPr>
            <w:tcW w:type="dxa" w:w="1608"/>
          </w:tcPr>
          <w:p>
            <w:pPr>
              <w:jc w:val="right"/>
            </w:pPr>
            <w:r/>
            <w:r>
              <w:rPr>
                <w:sz w:val="16"/>
              </w:rPr>
              <w:t>17</w:t>
            </w:r>
          </w:p>
        </w:tc>
        <w:tc>
          <w:tcPr>
            <w:tcW w:type="dxa" w:w="1608"/>
          </w:tcPr>
          <w:p>
            <w:pPr>
              <w:jc w:val="right"/>
            </w:pPr>
            <w:r/>
            <w:r>
              <w:rPr>
                <w:sz w:val="16"/>
              </w:rPr>
              <w:t>10.7</w:t>
            </w:r>
          </w:p>
        </w:tc>
        <w:tc>
          <w:tcPr>
            <w:tcW w:type="dxa" w:w="1608"/>
          </w:tcPr>
          <w:p>
            <w:pPr>
              <w:jc w:val="right"/>
            </w:pPr>
            <w:r/>
            <w:r>
              <w:rPr>
                <w:sz w:val="16"/>
              </w:rPr>
              <w:t>4.0</w:t>
            </w:r>
          </w:p>
        </w:tc>
        <w:tc>
          <w:tcPr>
            <w:tcW w:type="dxa" w:w="1608"/>
          </w:tcPr>
          <w:p>
            <w:pPr>
              <w:jc w:val="right"/>
            </w:pPr>
            <w:r/>
            <w:r>
              <w:rPr>
                <w:sz w:val="16"/>
              </w:rPr>
              <w:t>2</w:t>
            </w:r>
          </w:p>
        </w:tc>
      </w:tr>
      <w:tr>
        <w:tc>
          <w:tcPr>
            <w:tcW w:type="dxa" w:w="1608"/>
          </w:tcPr>
          <w:p>
            <w:r/>
            <w:r>
              <w:rPr>
                <w:sz w:val="16"/>
              </w:rPr>
              <w:t>DSNY</w:t>
            </w:r>
          </w:p>
        </w:tc>
        <w:tc>
          <w:tcPr>
            <w:tcW w:type="dxa" w:w="1608"/>
          </w:tcPr>
          <w:p>
            <w:r/>
            <w:r>
              <w:rPr>
                <w:sz w:val="16"/>
              </w:rPr>
              <w:t>Recycling Violation</w:t>
            </w:r>
          </w:p>
        </w:tc>
        <w:tc>
          <w:tcPr>
            <w:tcW w:type="dxa" w:w="1608"/>
          </w:tcPr>
          <w:p>
            <w:pPr>
              <w:jc w:val="right"/>
            </w:pPr>
            <w:r/>
            <w:r>
              <w:rPr>
                <w:sz w:val="16"/>
              </w:rPr>
              <w:t>21</w:t>
            </w:r>
          </w:p>
        </w:tc>
        <w:tc>
          <w:tcPr>
            <w:tcW w:type="dxa" w:w="1608"/>
          </w:tcPr>
          <w:p>
            <w:pPr>
              <w:jc w:val="right"/>
            </w:pPr>
            <w:r/>
            <w:r>
              <w:rPr>
                <w:sz w:val="16"/>
              </w:rPr>
              <w:t>6.0</w:t>
            </w:r>
          </w:p>
        </w:tc>
        <w:tc>
          <w:tcPr>
            <w:tcW w:type="dxa" w:w="1608"/>
          </w:tcPr>
          <w:p>
            <w:pPr>
              <w:jc w:val="right"/>
            </w:pPr>
            <w:r/>
            <w:r>
              <w:rPr>
                <w:sz w:val="16"/>
              </w:rPr>
              <w:t>3.75</w:t>
            </w:r>
          </w:p>
        </w:tc>
        <w:tc>
          <w:tcPr>
            <w:tcW w:type="dxa" w:w="1608"/>
          </w:tcPr>
          <w:p>
            <w:pPr>
              <w:jc w:val="right"/>
            </w:pPr>
            <w:r/>
            <w:r>
              <w:rPr>
                <w:sz w:val="16"/>
              </w:rPr>
              <w:t>4</w:t>
            </w:r>
          </w:p>
        </w:tc>
      </w:tr>
      <w:tr>
        <w:tc>
          <w:tcPr>
            <w:tcW w:type="dxa" w:w="1608"/>
          </w:tcPr>
          <w:p>
            <w:r/>
            <w:r>
              <w:rPr>
                <w:sz w:val="16"/>
              </w:rPr>
              <w:t>DSNY</w:t>
            </w:r>
          </w:p>
        </w:tc>
        <w:tc>
          <w:tcPr>
            <w:tcW w:type="dxa" w:w="1608"/>
          </w:tcPr>
          <w:p>
            <w:r/>
            <w:r>
              <w:rPr>
                <w:sz w:val="16"/>
              </w:rPr>
              <w:t>Street Sweeping Complaint</w:t>
            </w:r>
          </w:p>
        </w:tc>
        <w:tc>
          <w:tcPr>
            <w:tcW w:type="dxa" w:w="1608"/>
          </w:tcPr>
          <w:p>
            <w:pPr>
              <w:jc w:val="right"/>
            </w:pPr>
            <w:r/>
            <w:r>
              <w:rPr>
                <w:sz w:val="16"/>
              </w:rPr>
              <w:t>11</w:t>
            </w:r>
          </w:p>
        </w:tc>
        <w:tc>
          <w:tcPr>
            <w:tcW w:type="dxa" w:w="1608"/>
          </w:tcPr>
          <w:p>
            <w:pPr>
              <w:jc w:val="right"/>
            </w:pPr>
            <w:r/>
            <w:r>
              <w:rPr>
                <w:sz w:val="16"/>
              </w:rPr>
              <w:t>3.6</w:t>
            </w:r>
          </w:p>
        </w:tc>
        <w:tc>
          <w:tcPr>
            <w:tcW w:type="dxa" w:w="1608"/>
          </w:tcPr>
          <w:p>
            <w:pPr>
              <w:jc w:val="right"/>
            </w:pPr>
            <w:r/>
            <w:r>
              <w:rPr>
                <w:sz w:val="16"/>
              </w:rPr>
              <w:t>3.62</w:t>
            </w:r>
          </w:p>
        </w:tc>
        <w:tc>
          <w:tcPr>
            <w:tcW w:type="dxa" w:w="1608"/>
          </w:tcPr>
          <w:p>
            <w:pPr>
              <w:jc w:val="right"/>
            </w:pPr>
            <w:r/>
            <w:r>
              <w:rPr>
                <w:sz w:val="16"/>
              </w:rPr>
              <w:t>2</w:t>
            </w:r>
          </w:p>
        </w:tc>
      </w:tr>
      <w:tr>
        <w:tc>
          <w:tcPr>
            <w:tcW w:type="dxa" w:w="1608"/>
          </w:tcPr>
          <w:p>
            <w:r/>
            <w:r>
              <w:rPr>
                <w:sz w:val="16"/>
              </w:rPr>
              <w:t>FDNY</w:t>
            </w:r>
          </w:p>
        </w:tc>
        <w:tc>
          <w:tcPr>
            <w:tcW w:type="dxa" w:w="1608"/>
          </w:tcPr>
          <w:p>
            <w:r/>
            <w:r>
              <w:rPr>
                <w:sz w:val="16"/>
              </w:rPr>
              <w:t>Blocked Fire Exit</w:t>
            </w:r>
          </w:p>
        </w:tc>
        <w:tc>
          <w:tcPr>
            <w:tcW w:type="dxa" w:w="1608"/>
          </w:tcPr>
          <w:p>
            <w:pPr>
              <w:jc w:val="right"/>
            </w:pPr>
            <w:r/>
            <w:r>
              <w:rPr>
                <w:sz w:val="16"/>
              </w:rPr>
              <w:t>2</w:t>
            </w:r>
          </w:p>
        </w:tc>
        <w:tc>
          <w:tcPr>
            <w:tcW w:type="dxa" w:w="1608"/>
          </w:tcPr>
          <w:p>
            <w:pPr>
              <w:jc w:val="right"/>
            </w:pPr>
            <w:r/>
            <w:r>
              <w:rPr>
                <w:sz w:val="16"/>
              </w:rPr>
              <w:t>2.5</w:t>
            </w:r>
          </w:p>
        </w:tc>
        <w:tc>
          <w:tcPr>
            <w:tcW w:type="dxa" w:w="1608"/>
          </w:tcPr>
          <w:p>
            <w:pPr>
              <w:jc w:val="right"/>
            </w:pPr>
            <w:r/>
            <w:r>
              <w:rPr>
                <w:sz w:val="16"/>
              </w:rPr>
              <w:t>5.0</w:t>
            </w:r>
          </w:p>
        </w:tc>
        <w:tc>
          <w:tcPr>
            <w:tcW w:type="dxa" w:w="1608"/>
          </w:tcPr>
          <w:p>
            <w:pPr>
              <w:jc w:val="right"/>
            </w:pPr>
            <w:r/>
            <w:r>
              <w:rPr>
                <w:sz w:val="16"/>
              </w:rPr>
              <w:t>0</w:t>
            </w:r>
          </w:p>
        </w:tc>
      </w:tr>
      <w:tr>
        <w:tc>
          <w:tcPr>
            <w:tcW w:type="dxa" w:w="1608"/>
          </w:tcPr>
          <w:p>
            <w:r/>
            <w:r>
              <w:rPr>
                <w:sz w:val="16"/>
              </w:rPr>
              <w:t>FDNY</w:t>
            </w:r>
          </w:p>
        </w:tc>
        <w:tc>
          <w:tcPr>
            <w:tcW w:type="dxa" w:w="1608"/>
          </w:tcPr>
          <w:p>
            <w:r/>
            <w:r>
              <w:rPr>
                <w:sz w:val="16"/>
              </w:rPr>
              <w:t>Building Fire Safety Concern</w:t>
            </w:r>
          </w:p>
        </w:tc>
        <w:tc>
          <w:tcPr>
            <w:tcW w:type="dxa" w:w="1608"/>
          </w:tcPr>
          <w:p>
            <w:pPr>
              <w:jc w:val="right"/>
            </w:pPr>
            <w:r/>
            <w:r>
              <w:rPr>
                <w:sz w:val="16"/>
              </w:rPr>
              <w:t>11</w:t>
            </w:r>
          </w:p>
        </w:tc>
        <w:tc>
          <w:tcPr>
            <w:tcW w:type="dxa" w:w="1608"/>
          </w:tcPr>
          <w:p>
            <w:pPr>
              <w:jc w:val="right"/>
            </w:pPr>
            <w:r/>
            <w:r>
              <w:rPr>
                <w:sz w:val="16"/>
              </w:rPr>
              <w:t>7.1</w:t>
            </w:r>
          </w:p>
        </w:tc>
        <w:tc>
          <w:tcPr>
            <w:tcW w:type="dxa" w:w="1608"/>
          </w:tcPr>
          <w:p>
            <w:pPr>
              <w:jc w:val="right"/>
            </w:pPr>
            <w:r/>
            <w:r>
              <w:rPr>
                <w:sz w:val="16"/>
              </w:rPr>
              <w:t>3.83</w:t>
            </w:r>
          </w:p>
        </w:tc>
        <w:tc>
          <w:tcPr>
            <w:tcW w:type="dxa" w:w="1608"/>
          </w:tcPr>
          <w:p>
            <w:pPr>
              <w:jc w:val="right"/>
            </w:pPr>
            <w:r/>
            <w:r>
              <w:rPr>
                <w:sz w:val="16"/>
              </w:rPr>
              <w:t>1</w:t>
            </w:r>
          </w:p>
        </w:tc>
      </w:tr>
      <w:tr>
        <w:tc>
          <w:tcPr>
            <w:tcW w:type="dxa" w:w="1608"/>
          </w:tcPr>
          <w:p>
            <w:r/>
            <w:r>
              <w:rPr>
                <w:sz w:val="16"/>
              </w:rPr>
              <w:t>FDNY</w:t>
            </w:r>
          </w:p>
        </w:tc>
        <w:tc>
          <w:tcPr>
            <w:tcW w:type="dxa" w:w="1608"/>
          </w:tcPr>
          <w:p>
            <w:r/>
            <w:r>
              <w:rPr>
                <w:sz w:val="16"/>
              </w:rPr>
              <w:t>Carbon Monoxide Concern</w:t>
            </w:r>
          </w:p>
        </w:tc>
        <w:tc>
          <w:tcPr>
            <w:tcW w:type="dxa" w:w="1608"/>
          </w:tcPr>
          <w:p>
            <w:pPr>
              <w:jc w:val="right"/>
            </w:pPr>
            <w:r/>
            <w:r>
              <w:rPr>
                <w:sz w:val="16"/>
              </w:rPr>
              <w:t>8</w:t>
            </w:r>
          </w:p>
        </w:tc>
        <w:tc>
          <w:tcPr>
            <w:tcW w:type="dxa" w:w="1608"/>
          </w:tcPr>
          <w:p>
            <w:pPr>
              <w:jc w:val="right"/>
            </w:pPr>
            <w:r/>
            <w:r>
              <w:rPr>
                <w:sz w:val="16"/>
              </w:rPr>
              <w:t>2.2</w:t>
            </w:r>
          </w:p>
        </w:tc>
        <w:tc>
          <w:tcPr>
            <w:tcW w:type="dxa" w:w="1608"/>
          </w:tcPr>
          <w:p>
            <w:pPr>
              <w:jc w:val="right"/>
            </w:pPr>
            <w:r/>
            <w:r>
              <w:rPr>
                <w:sz w:val="16"/>
              </w:rPr>
              <w:t>4.33</w:t>
            </w:r>
          </w:p>
        </w:tc>
        <w:tc>
          <w:tcPr>
            <w:tcW w:type="dxa" w:w="1608"/>
          </w:tcPr>
          <w:p>
            <w:pPr>
              <w:jc w:val="right"/>
            </w:pPr>
            <w:r/>
            <w:r>
              <w:rPr>
                <w:sz w:val="16"/>
              </w:rPr>
              <w:t>3</w:t>
            </w:r>
          </w:p>
        </w:tc>
      </w:tr>
      <w:tr>
        <w:tc>
          <w:tcPr>
            <w:tcW w:type="dxa" w:w="1608"/>
          </w:tcPr>
          <w:p>
            <w:r/>
            <w:r>
              <w:rPr>
                <w:sz w:val="16"/>
              </w:rPr>
              <w:t>FDNY</w:t>
            </w:r>
          </w:p>
        </w:tc>
        <w:tc>
          <w:tcPr>
            <w:tcW w:type="dxa" w:w="1608"/>
          </w:tcPr>
          <w:p>
            <w:r/>
            <w:r>
              <w:rPr>
                <w:sz w:val="16"/>
              </w:rPr>
              <w:t>False Alarm Report</w:t>
            </w:r>
          </w:p>
        </w:tc>
        <w:tc>
          <w:tcPr>
            <w:tcW w:type="dxa" w:w="1608"/>
          </w:tcPr>
          <w:p>
            <w:pPr>
              <w:jc w:val="right"/>
            </w:pPr>
            <w:r/>
            <w:r>
              <w:rPr>
                <w:sz w:val="16"/>
              </w:rPr>
              <w:t>3</w:t>
            </w:r>
          </w:p>
        </w:tc>
        <w:tc>
          <w:tcPr>
            <w:tcW w:type="dxa" w:w="1608"/>
          </w:tcPr>
          <w:p>
            <w:pPr>
              <w:jc w:val="right"/>
            </w:pPr>
            <w:r/>
            <w:r>
              <w:rPr>
                <w:sz w:val="16"/>
              </w:rPr>
              <w:t>1.0</w:t>
            </w:r>
          </w:p>
        </w:tc>
        <w:tc>
          <w:tcPr>
            <w:tcW w:type="dxa" w:w="1608"/>
          </w:tcPr>
          <w:p>
            <w:pPr>
              <w:jc w:val="right"/>
            </w:pPr>
            <w:r/>
            <w:r>
              <w:rPr>
                <w:sz w:val="16"/>
              </w:rPr>
              <w:t>4.0</w:t>
            </w:r>
          </w:p>
        </w:tc>
        <w:tc>
          <w:tcPr>
            <w:tcW w:type="dxa" w:w="1608"/>
          </w:tcPr>
          <w:p>
            <w:pPr>
              <w:jc w:val="right"/>
            </w:pPr>
            <w:r/>
            <w:r>
              <w:rPr>
                <w:sz w:val="16"/>
              </w:rPr>
              <w:t>1</w:t>
            </w:r>
          </w:p>
        </w:tc>
      </w:tr>
      <w:tr>
        <w:tc>
          <w:tcPr>
            <w:tcW w:type="dxa" w:w="1608"/>
          </w:tcPr>
          <w:p>
            <w:r/>
            <w:r>
              <w:rPr>
                <w:sz w:val="16"/>
              </w:rPr>
              <w:t>FDNY</w:t>
            </w:r>
          </w:p>
        </w:tc>
        <w:tc>
          <w:tcPr>
            <w:tcW w:type="dxa" w:w="1608"/>
          </w:tcPr>
          <w:p>
            <w:r/>
            <w:r>
              <w:rPr>
                <w:sz w:val="16"/>
              </w:rPr>
              <w:t>Fire Hydrant</w:t>
            </w:r>
          </w:p>
        </w:tc>
        <w:tc>
          <w:tcPr>
            <w:tcW w:type="dxa" w:w="1608"/>
          </w:tcPr>
          <w:p>
            <w:pPr>
              <w:jc w:val="right"/>
            </w:pPr>
            <w:r/>
            <w:r>
              <w:rPr>
                <w:sz w:val="16"/>
              </w:rPr>
              <w:t>18</w:t>
            </w:r>
          </w:p>
        </w:tc>
        <w:tc>
          <w:tcPr>
            <w:tcW w:type="dxa" w:w="1608"/>
          </w:tcPr>
          <w:p>
            <w:pPr>
              <w:jc w:val="right"/>
            </w:pPr>
            <w:r/>
            <w:r>
              <w:rPr>
                <w:sz w:val="16"/>
              </w:rPr>
              <w:t>1.6</w:t>
            </w:r>
          </w:p>
        </w:tc>
        <w:tc>
          <w:tcPr>
            <w:tcW w:type="dxa" w:w="1608"/>
          </w:tcPr>
          <w:p>
            <w:pPr>
              <w:jc w:val="right"/>
            </w:pPr>
            <w:r/>
            <w:r>
              <w:rPr>
                <w:sz w:val="16"/>
              </w:rPr>
              <w:t>4.18</w:t>
            </w:r>
          </w:p>
        </w:tc>
        <w:tc>
          <w:tcPr>
            <w:tcW w:type="dxa" w:w="1608"/>
          </w:tcPr>
          <w:p>
            <w:pPr>
              <w:jc w:val="right"/>
            </w:pPr>
            <w:r/>
            <w:r>
              <w:rPr>
                <w:sz w:val="16"/>
              </w:rPr>
              <w:t>2</w:t>
            </w:r>
          </w:p>
        </w:tc>
      </w:tr>
      <w:tr>
        <w:tc>
          <w:tcPr>
            <w:tcW w:type="dxa" w:w="1608"/>
          </w:tcPr>
          <w:p>
            <w:r/>
            <w:r>
              <w:rPr>
                <w:sz w:val="16"/>
              </w:rPr>
              <w:t>FDNY</w:t>
            </w:r>
          </w:p>
        </w:tc>
        <w:tc>
          <w:tcPr>
            <w:tcW w:type="dxa" w:w="1608"/>
          </w:tcPr>
          <w:p>
            <w:r/>
            <w:r>
              <w:rPr>
                <w:sz w:val="16"/>
              </w:rPr>
              <w:t>Smoke Detector Request</w:t>
            </w:r>
          </w:p>
        </w:tc>
        <w:tc>
          <w:tcPr>
            <w:tcW w:type="dxa" w:w="1608"/>
          </w:tcPr>
          <w:p>
            <w:pPr>
              <w:jc w:val="right"/>
            </w:pPr>
            <w:r/>
            <w:r>
              <w:rPr>
                <w:sz w:val="16"/>
              </w:rPr>
              <w:t>10</w:t>
            </w:r>
          </w:p>
        </w:tc>
        <w:tc>
          <w:tcPr>
            <w:tcW w:type="dxa" w:w="1608"/>
          </w:tcPr>
          <w:p>
            <w:pPr>
              <w:jc w:val="right"/>
            </w:pPr>
            <w:r/>
            <w:r>
              <w:rPr>
                <w:sz w:val="16"/>
              </w:rPr>
              <w:t>5.8</w:t>
            </w:r>
          </w:p>
        </w:tc>
        <w:tc>
          <w:tcPr>
            <w:tcW w:type="dxa" w:w="1608"/>
          </w:tcPr>
          <w:p>
            <w:pPr>
              <w:jc w:val="right"/>
            </w:pPr>
            <w:r/>
            <w:r>
              <w:rPr>
                <w:sz w:val="16"/>
              </w:rPr>
              <w:t>4.5</w:t>
            </w:r>
          </w:p>
        </w:tc>
        <w:tc>
          <w:tcPr>
            <w:tcW w:type="dxa" w:w="1608"/>
          </w:tcPr>
          <w:p>
            <w:pPr>
              <w:jc w:val="right"/>
            </w:pPr>
            <w:r/>
            <w:r>
              <w:rPr>
                <w:sz w:val="16"/>
              </w:rPr>
              <w:t>0</w:t>
            </w:r>
          </w:p>
        </w:tc>
      </w:tr>
    </w:tbl>
    <w:sectPr w:rsidR="00FC693F" w:rsidRPr="0006063C" w:rsidSect="00034616">
      <w:foot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