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32"/>
        </w:rPr>
        <w:t>NOVATRANS LOGISTICS - BOARD DECISION BRIEF</w:t>
      </w:r>
    </w:p>
    <w:p>
      <w:pPr>
        <w:jc w:val="center"/>
      </w:pPr>
      <w:r>
        <w:rPr>
          <w:i/>
          <w:sz w:val="22"/>
        </w:rPr>
        <w:t>Plant Consolidation Strategy: Scoring Model, Redistribution Plan and Go/No-Go Recommendations</w:t>
      </w:r>
    </w:p>
    <w:p>
      <w:pPr>
        <w:spacing w:after="160"/>
      </w:pPr>
      <w:r>
        <w:rPr>
          <w:b w:val="0"/>
          <w:i/>
          <w:sz w:val="17"/>
        </w:rPr>
        <w:t>Prepared by: Operations Consulting Team  |  For: Board of Directors, NovaTrans Logistics  |  Ref: COO Engagement Memo (D. Chen, 15 Jan 2024) + Board directive of the same cycle  |  Classification: Confidential</w:t>
      </w:r>
    </w:p>
    <w:p>
      <w:pPr>
        <w:pStyle w:val="Heading1"/>
      </w:pPr>
      <w:r>
        <w:rPr>
          <w:rFonts w:ascii="Calibri" w:hAnsi="Calibri"/>
          <w:color w:val="1F3864"/>
        </w:rPr>
        <w:t>1. Methodology Statement</w:t>
      </w:r>
    </w:p>
    <w:p>
      <w:pPr>
        <w:spacing w:after="120"/>
      </w:pPr>
      <w:r>
        <w:rPr>
          <w:b w:val="0"/>
          <w:i w:val="0"/>
          <w:sz w:val="19"/>
        </w:rPr>
        <w:t>Board directive. Identify 3-5 of the 19 distribution plants as candidates for closure or consolidation using a composite scoring model, and operationalize 'structurally unviable' from the available data. We define a plant as structurally unviable when it exhibits one or more of: (i) stated daily capacity too small to absorb fixed operating overhead; (ii) per-unit warehousing cost materially above the network; (iii) a port role duplicated by other plants (redundant node); (iv) an unresolvable mismatch between stated capacity and observed workload; or (v) sustained service failure that consolidation would resolve.</w:t>
      </w:r>
    </w:p>
    <w:p>
      <w:pPr>
        <w:spacing w:after="80"/>
      </w:pPr>
      <w:r>
        <w:rPr>
          <w:b w:val="0"/>
          <w:i w:val="0"/>
          <w:sz w:val="19"/>
        </w:rPr>
        <w:t>Scoring model. Each plant is scored 0-100 on five weighted factors; the weighted sum ranks consolidation candidacy (higher = stronger case):</w:t>
      </w:r>
    </w:p>
    <w:tbl>
      <w:tblPr>
        <w:tblStyle w:val="LightGrid-Accent1"/>
        <w:tblW w:type="auto" w:w="0"/>
        <w:jc w:val="center"/>
        <w:tblLook w:firstColumn="1" w:firstRow="1" w:lastColumn="0" w:lastRow="0" w:noHBand="0" w:noVBand="1" w:val="04A0"/>
      </w:tblPr>
      <w:tblGrid>
        <w:gridCol w:w="2556"/>
        <w:gridCol w:w="2556"/>
        <w:gridCol w:w="2556"/>
        <w:gridCol w:w="2556"/>
      </w:tblGrid>
      <w:tr>
        <w:tc>
          <w:tcPr>
            <w:tcW w:type="dxa" w:w="2160"/>
          </w:tcPr>
          <w:p>
            <w:r/>
            <w:r>
              <w:rPr>
                <w:b/>
                <w:sz w:val="17"/>
              </w:rPr>
              <w:t>Factor</w:t>
            </w:r>
          </w:p>
        </w:tc>
        <w:tc>
          <w:tcPr>
            <w:tcW w:type="dxa" w:w="720"/>
          </w:tcPr>
          <w:p>
            <w:r/>
            <w:r>
              <w:rPr>
                <w:b/>
                <w:sz w:val="17"/>
              </w:rPr>
              <w:t>Wt</w:t>
            </w:r>
          </w:p>
        </w:tc>
        <w:tc>
          <w:tcPr>
            <w:tcW w:type="dxa" w:w="3744"/>
          </w:tcPr>
          <w:p>
            <w:r/>
            <w:r>
              <w:rPr>
                <w:b/>
                <w:sz w:val="17"/>
              </w:rPr>
              <w:t>Definition</w:t>
            </w:r>
          </w:p>
        </w:tc>
        <w:tc>
          <w:tcPr>
            <w:tcW w:type="dxa" w:w="3456"/>
          </w:tcPr>
          <w:p>
            <w:r/>
            <w:r>
              <w:rPr>
                <w:b/>
                <w:sz w:val="17"/>
              </w:rPr>
              <w:t>Rationale</w:t>
            </w:r>
          </w:p>
        </w:tc>
      </w:tr>
      <w:tr>
        <w:tc>
          <w:tcPr>
            <w:tcW w:type="dxa" w:w="2160"/>
          </w:tcPr>
          <w:p>
            <w:r/>
            <w:r>
              <w:rPr>
                <w:sz w:val="17"/>
              </w:rPr>
              <w:t>F1 Capacity-Scale Deficit</w:t>
            </w:r>
          </w:p>
        </w:tc>
        <w:tc>
          <w:tcPr>
            <w:tcW w:type="dxa" w:w="720"/>
          </w:tcPr>
          <w:p>
            <w:r/>
            <w:r>
              <w:rPr>
                <w:sz w:val="17"/>
              </w:rPr>
              <w:t>25%</w:t>
            </w:r>
          </w:p>
        </w:tc>
        <w:tc>
          <w:tcPr>
            <w:tcW w:type="dxa" w:w="3744"/>
          </w:tcPr>
          <w:p>
            <w:r/>
            <w:r>
              <w:rPr>
                <w:sz w:val="17"/>
              </w:rPr>
              <w:t>Min-max inverted stated daily capacity (WhCapacities)</w:t>
            </w:r>
          </w:p>
        </w:tc>
        <w:tc>
          <w:tcPr>
            <w:tcW w:type="dxa" w:w="3456"/>
          </w:tcPr>
          <w:p>
            <w:r/>
            <w:r>
              <w:rPr>
                <w:sz w:val="17"/>
              </w:rPr>
              <w:t>Plants at 7-14 units/day stated capacity cannot absorb fixed overhead</w:t>
            </w:r>
          </w:p>
        </w:tc>
      </w:tr>
      <w:tr>
        <w:tc>
          <w:tcPr>
            <w:tcW w:type="dxa" w:w="2160"/>
          </w:tcPr>
          <w:p>
            <w:r/>
            <w:r>
              <w:rPr>
                <w:sz w:val="17"/>
              </w:rPr>
              <w:t>F2 Unit-Cost Disadvantage</w:t>
            </w:r>
          </w:p>
        </w:tc>
        <w:tc>
          <w:tcPr>
            <w:tcW w:type="dxa" w:w="720"/>
          </w:tcPr>
          <w:p>
            <w:r/>
            <w:r>
              <w:rPr>
                <w:sz w:val="17"/>
              </w:rPr>
              <w:t>20%</w:t>
            </w:r>
          </w:p>
        </w:tc>
        <w:tc>
          <w:tcPr>
            <w:tcW w:type="dxa" w:w="3744"/>
          </w:tcPr>
          <w:p>
            <w:r/>
            <w:r>
              <w:rPr>
                <w:sz w:val="17"/>
              </w:rPr>
              <w:t>Min-max cost per unit (WhCosts)</w:t>
            </w:r>
          </w:p>
        </w:tc>
        <w:tc>
          <w:tcPr>
            <w:tcW w:type="dxa" w:w="3456"/>
          </w:tcPr>
          <w:p>
            <w:r/>
            <w:r>
              <w:rPr>
                <w:sz w:val="17"/>
              </w:rPr>
              <w:t>5.5x cost spread across network (0.371-2.036 $/unit)</w:t>
            </w:r>
          </w:p>
        </w:tc>
      </w:tr>
      <w:tr>
        <w:tc>
          <w:tcPr>
            <w:tcW w:type="dxa" w:w="2160"/>
          </w:tcPr>
          <w:p>
            <w:r/>
            <w:r>
              <w:rPr>
                <w:sz w:val="17"/>
              </w:rPr>
              <w:t>F3 Absorption Feasibility</w:t>
            </w:r>
          </w:p>
        </w:tc>
        <w:tc>
          <w:tcPr>
            <w:tcW w:type="dxa" w:w="720"/>
          </w:tcPr>
          <w:p>
            <w:r/>
            <w:r>
              <w:rPr>
                <w:sz w:val="17"/>
              </w:rPr>
              <w:t>20%</w:t>
            </w:r>
          </w:p>
        </w:tc>
        <w:tc>
          <w:tcPr>
            <w:tcW w:type="dxa" w:w="3744"/>
          </w:tcPr>
          <w:p>
            <w:r/>
            <w:r>
              <w:rPr>
                <w:sz w:val="17"/>
              </w:rPr>
              <w:t>Port-sharing partners / max 6 (PlantPorts)</w:t>
            </w:r>
          </w:p>
        </w:tc>
        <w:tc>
          <w:tcPr>
            <w:tcW w:type="dxa" w:w="3456"/>
          </w:tcPr>
          <w:p>
            <w:r/>
            <w:r>
              <w:rPr>
                <w:sz w:val="17"/>
              </w:rPr>
              <w:t>Redundant port role = consolidatable; isolated port = transfer barrier</w:t>
            </w:r>
          </w:p>
        </w:tc>
      </w:tr>
      <w:tr>
        <w:tc>
          <w:tcPr>
            <w:tcW w:type="dxa" w:w="2160"/>
          </w:tcPr>
          <w:p>
            <w:r/>
            <w:r>
              <w:rPr>
                <w:sz w:val="17"/>
              </w:rPr>
              <w:t>F4 Throughput Evidence</w:t>
            </w:r>
          </w:p>
        </w:tc>
        <w:tc>
          <w:tcPr>
            <w:tcW w:type="dxa" w:w="720"/>
          </w:tcPr>
          <w:p>
            <w:r/>
            <w:r>
              <w:rPr>
                <w:sz w:val="17"/>
              </w:rPr>
              <w:t>25%</w:t>
            </w:r>
          </w:p>
        </w:tc>
        <w:tc>
          <w:tcPr>
            <w:tcW w:type="dxa" w:w="3744"/>
          </w:tcPr>
          <w:p>
            <w:r/>
            <w:r>
              <w:rPr>
                <w:sz w:val="17"/>
              </w:rPr>
              <w:t>Log-scale inverted observed units/day (OrderList extract)</w:t>
            </w:r>
          </w:p>
        </w:tc>
        <w:tc>
          <w:tcPr>
            <w:tcW w:type="dxa" w:w="3456"/>
          </w:tcPr>
          <w:p>
            <w:r/>
            <w:r>
              <w:rPr>
                <w:sz w:val="17"/>
              </w:rPr>
              <w:t>Observed workload is the strongest viability evidence</w:t>
            </w:r>
          </w:p>
        </w:tc>
      </w:tr>
      <w:tr>
        <w:tc>
          <w:tcPr>
            <w:tcW w:type="dxa" w:w="2160"/>
          </w:tcPr>
          <w:p>
            <w:r/>
            <w:r>
              <w:rPr>
                <w:sz w:val="17"/>
              </w:rPr>
              <w:t>F5 Service &amp; Customer Friction</w:t>
            </w:r>
          </w:p>
        </w:tc>
        <w:tc>
          <w:tcPr>
            <w:tcW w:type="dxa" w:w="720"/>
          </w:tcPr>
          <w:p>
            <w:r/>
            <w:r>
              <w:rPr>
                <w:sz w:val="17"/>
              </w:rPr>
              <w:t>10%</w:t>
            </w:r>
          </w:p>
        </w:tc>
        <w:tc>
          <w:tcPr>
            <w:tcW w:type="dxa" w:w="3744"/>
          </w:tcPr>
          <w:p>
            <w:r/>
            <w:r>
              <w:rPr>
                <w:sz w:val="17"/>
              </w:rPr>
              <w:t>Late-shipment %, severity-weighted complaints, survey deficit</w:t>
            </w:r>
          </w:p>
        </w:tc>
        <w:tc>
          <w:tcPr>
            <w:tcW w:type="dxa" w:w="3456"/>
          </w:tcPr>
          <w:p>
            <w:r/>
            <w:r>
              <w:rPr>
                <w:sz w:val="17"/>
              </w:rPr>
              <w:t>Service failure raises transition risk and attrition exposure</w:t>
            </w:r>
          </w:p>
        </w:tc>
      </w:tr>
    </w:tbl>
    <w:p>
      <w:pPr>
        <w:spacing w:after="160"/>
      </w:pPr>
      <w:r>
        <w:rPr>
          <w:b w:val="0"/>
          <w:i w:val="0"/>
          <w:sz w:val="19"/>
        </w:rPr>
        <w:t>Data coverage and integrity. Structural factors (F1-F3, 65% of weight) draw on full-coverage reference files covering all 19 plants. Evidentiary factors (F4-F5, 35%) are observable only for the 7 plants present in the single-day order extract (9,215 orders dated 2013-05-26); the 12 uncovered plants receive a neutral score of 50 with an explicit flag - absence of evidence is not scored as evidence of zero throughput. The Data_Reconciliation tab of the accompanying workbook verifies the memo's claims: the ~2% late-shipment claim is confirmed at 2.08% (192 of 9,215), while the memo's 'PLANT01 handles ~1,070 units/day' and 'PLANT15 processes ~11 units/day' statements reproduce stated capacities from WhCapacities.csv exactly and conflate capacity with throughput; the claimed fixed-cost component of WhCosts is absent from the file. All figures in this brief are computed, not asserted.</w:t>
      </w:r>
    </w:p>
    <w:p>
      <w:pPr>
        <w:pStyle w:val="Heading1"/>
      </w:pPr>
      <w:r>
        <w:rPr>
          <w:rFonts w:ascii="Calibri" w:hAnsi="Calibri"/>
          <w:color w:val="1F3864"/>
        </w:rPr>
        <w:t>2. Consolidation Recommendation</w:t>
      </w:r>
    </w:p>
    <w:p>
      <w:pPr>
        <w:spacing w:after="80"/>
      </w:pPr>
      <w:r>
        <w:rPr>
          <w:b w:val="0"/>
          <w:i w:val="0"/>
          <w:sz w:val="19"/>
        </w:rPr>
        <w:t>Top-5 candidates by composite score (of 19 ranked; full ranking in the Composite_Score tab): PLANT19 (65.7), PLANT08 (64.7), PLANT09 (61.0), PLANT12 (60.2), PLANT18 (60.0). Watchlist (retain-and-monitor): PLANT11 (57.1), PLANT15 (54.9), PLANT16 (45.1).</w:t>
      </w:r>
    </w:p>
    <w:p>
      <w:pPr>
        <w:spacing w:after="80"/>
      </w:pPr>
      <w:r>
        <w:rPr>
          <w:b w:val="0"/>
          <w:i w:val="0"/>
          <w:sz w:val="19"/>
        </w:rPr>
        <w:t>Redistribution plans and net cost impact. Port topology constrains absorption: a candidate's volume can only move to retained plants sharing at least one of its ports. Four of the five candidates sit in the PORT04 cluster (7 plants share one port), which is why consolidation is feasible there; PLANT18 (PORT11) and watchlist PLANT15 (PORT08) have no absorber at any price.</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152"/>
          </w:tcPr>
          <w:p>
            <w:r/>
            <w:r>
              <w:rPr>
                <w:b/>
                <w:sz w:val="17"/>
              </w:rPr>
              <w:t>Candidate</w:t>
            </w:r>
          </w:p>
        </w:tc>
        <w:tc>
          <w:tcPr>
            <w:tcW w:type="dxa" w:w="720"/>
          </w:tcPr>
          <w:p>
            <w:r/>
            <w:r>
              <w:rPr>
                <w:b/>
                <w:sz w:val="17"/>
              </w:rPr>
              <w:t>Score</w:t>
            </w:r>
          </w:p>
        </w:tc>
        <w:tc>
          <w:tcPr>
            <w:tcW w:type="dxa" w:w="1296"/>
          </w:tcPr>
          <w:p>
            <w:r/>
            <w:r>
              <w:rPr>
                <w:b/>
                <w:sz w:val="17"/>
              </w:rPr>
              <w:t>Action</w:t>
            </w:r>
          </w:p>
        </w:tc>
        <w:tc>
          <w:tcPr>
            <w:tcW w:type="dxa" w:w="3024"/>
          </w:tcPr>
          <w:p>
            <w:r/>
            <w:r>
              <w:rPr>
                <w:b/>
                <w:sz w:val="17"/>
              </w:rPr>
              <w:t>Structural Evidence</w:t>
            </w:r>
          </w:p>
        </w:tc>
        <w:tc>
          <w:tcPr>
            <w:tcW w:type="dxa" w:w="2160"/>
          </w:tcPr>
          <w:p>
            <w:r/>
            <w:r>
              <w:rPr>
                <w:b/>
                <w:sz w:val="17"/>
              </w:rPr>
              <w:t>Redistribution Plan</w:t>
            </w:r>
          </w:p>
        </w:tc>
        <w:tc>
          <w:tcPr>
            <w:tcW w:type="dxa" w:w="2160"/>
          </w:tcPr>
          <w:p>
            <w:r/>
            <w:r>
              <w:rPr>
                <w:b/>
                <w:sz w:val="17"/>
              </w:rPr>
              <w:t>Net Cost Impact</w:t>
            </w:r>
          </w:p>
        </w:tc>
      </w:tr>
      <w:tr>
        <w:tc>
          <w:tcPr>
            <w:tcW w:type="dxa" w:w="1152"/>
          </w:tcPr>
          <w:p>
            <w:r/>
            <w:r>
              <w:rPr>
                <w:sz w:val="17"/>
              </w:rPr>
              <w:t>PLANT19</w:t>
            </w:r>
          </w:p>
        </w:tc>
        <w:tc>
          <w:tcPr>
            <w:tcW w:type="dxa" w:w="720"/>
          </w:tcPr>
          <w:p>
            <w:r/>
            <w:r>
              <w:rPr>
                <w:sz w:val="17"/>
              </w:rPr>
              <w:t>65.7</w:t>
            </w:r>
          </w:p>
        </w:tc>
        <w:tc>
          <w:tcPr>
            <w:tcW w:type="dxa" w:w="1296"/>
          </w:tcPr>
          <w:p>
            <w:r/>
            <w:r>
              <w:rPr>
                <w:sz w:val="17"/>
              </w:rPr>
              <w:t>Close</w:t>
            </w:r>
          </w:p>
        </w:tc>
        <w:tc>
          <w:tcPr>
            <w:tcW w:type="dxa" w:w="3024"/>
          </w:tcPr>
          <w:p>
            <w:r/>
            <w:r>
              <w:rPr>
                <w:sz w:val="17"/>
              </w:rPr>
              <w:t>cap 7; no observed volume</w:t>
            </w:r>
          </w:p>
        </w:tc>
        <w:tc>
          <w:tcPr>
            <w:tcW w:type="dxa" w:w="2160"/>
          </w:tcPr>
          <w:p>
            <w:r/>
            <w:r>
              <w:rPr>
                <w:sz w:val="17"/>
              </w:rPr>
              <w:t>Role transfer to PORT04 cluster</w:t>
            </w:r>
          </w:p>
        </w:tc>
        <w:tc>
          <w:tcPr>
            <w:tcW w:type="dxa" w:w="2160"/>
          </w:tcPr>
          <w:p>
            <w:r/>
            <w:r>
              <w:rPr>
                <w:sz w:val="17"/>
              </w:rPr>
              <w:t>$0 variable; savings = avoided fixed overhead</w:t>
            </w:r>
          </w:p>
        </w:tc>
      </w:tr>
      <w:tr>
        <w:tc>
          <w:tcPr>
            <w:tcW w:type="dxa" w:w="1152"/>
          </w:tcPr>
          <w:p>
            <w:r/>
            <w:r>
              <w:rPr>
                <w:sz w:val="17"/>
              </w:rPr>
              <w:t>PLANT08</w:t>
            </w:r>
          </w:p>
        </w:tc>
        <w:tc>
          <w:tcPr>
            <w:tcW w:type="dxa" w:w="720"/>
          </w:tcPr>
          <w:p>
            <w:r/>
            <w:r>
              <w:rPr>
                <w:sz w:val="17"/>
              </w:rPr>
              <w:t>64.7</w:t>
            </w:r>
          </w:p>
        </w:tc>
        <w:tc>
          <w:tcPr>
            <w:tcW w:type="dxa" w:w="1296"/>
          </w:tcPr>
          <w:p>
            <w:r/>
            <w:r>
              <w:rPr>
                <w:sz w:val="17"/>
              </w:rPr>
              <w:t>Consolidate</w:t>
            </w:r>
          </w:p>
        </w:tc>
        <w:tc>
          <w:tcPr>
            <w:tcW w:type="dxa" w:w="3024"/>
          </w:tcPr>
          <w:p>
            <w:r/>
            <w:r>
              <w:rPr>
                <w:sz w:val="17"/>
              </w:rPr>
              <w:t>cap 14; 277,008 units/day</w:t>
            </w:r>
          </w:p>
        </w:tc>
        <w:tc>
          <w:tcPr>
            <w:tcW w:type="dxa" w:w="2160"/>
          </w:tcPr>
          <w:p>
            <w:r/>
            <w:r>
              <w:rPr>
                <w:sz w:val="17"/>
              </w:rPr>
              <w:t>All volume to PLANT13 (PORT04)</w:t>
            </w:r>
          </w:p>
        </w:tc>
        <w:tc>
          <w:tcPr>
            <w:tcW w:type="dxa" w:w="2160"/>
          </w:tcPr>
          <w:p>
            <w:r/>
            <w:r>
              <w:rPr>
                <w:sz w:val="17"/>
              </w:rPr>
              <w:t>-$14,723/day (-$5.37M annualized)</w:t>
            </w:r>
          </w:p>
        </w:tc>
      </w:tr>
      <w:tr>
        <w:tc>
          <w:tcPr>
            <w:tcW w:type="dxa" w:w="1152"/>
          </w:tcPr>
          <w:p>
            <w:r/>
            <w:r>
              <w:rPr>
                <w:sz w:val="17"/>
              </w:rPr>
              <w:t>PLANT09</w:t>
            </w:r>
          </w:p>
        </w:tc>
        <w:tc>
          <w:tcPr>
            <w:tcW w:type="dxa" w:w="720"/>
          </w:tcPr>
          <w:p>
            <w:r/>
            <w:r>
              <w:rPr>
                <w:sz w:val="17"/>
              </w:rPr>
              <w:t>61.0</w:t>
            </w:r>
          </w:p>
        </w:tc>
        <w:tc>
          <w:tcPr>
            <w:tcW w:type="dxa" w:w="1296"/>
          </w:tcPr>
          <w:p>
            <w:r/>
            <w:r>
              <w:rPr>
                <w:sz w:val="17"/>
              </w:rPr>
              <w:t>Consolidate</w:t>
            </w:r>
          </w:p>
        </w:tc>
        <w:tc>
          <w:tcPr>
            <w:tcW w:type="dxa" w:w="3024"/>
          </w:tcPr>
          <w:p>
            <w:r/>
            <w:r>
              <w:rPr>
                <w:sz w:val="17"/>
              </w:rPr>
              <w:t>cap 11; 223,830 units/day</w:t>
            </w:r>
          </w:p>
        </w:tc>
        <w:tc>
          <w:tcPr>
            <w:tcW w:type="dxa" w:w="2160"/>
          </w:tcPr>
          <w:p>
            <w:r/>
            <w:r>
              <w:rPr>
                <w:sz w:val="17"/>
              </w:rPr>
              <w:t>All volume to PLANT13 (PORT04)</w:t>
            </w:r>
          </w:p>
        </w:tc>
        <w:tc>
          <w:tcPr>
            <w:tcW w:type="dxa" w:w="2160"/>
          </w:tcPr>
          <w:p>
            <w:r/>
            <w:r>
              <w:rPr>
                <w:sz w:val="17"/>
              </w:rPr>
              <w:t>+$1,038/day variable, offset by fixed-cost avoidance</w:t>
            </w:r>
          </w:p>
        </w:tc>
      </w:tr>
      <w:tr>
        <w:tc>
          <w:tcPr>
            <w:tcW w:type="dxa" w:w="1152"/>
          </w:tcPr>
          <w:p>
            <w:r/>
            <w:r>
              <w:rPr>
                <w:sz w:val="17"/>
              </w:rPr>
              <w:t>PLANT12</w:t>
            </w:r>
          </w:p>
        </w:tc>
        <w:tc>
          <w:tcPr>
            <w:tcW w:type="dxa" w:w="720"/>
          </w:tcPr>
          <w:p>
            <w:r/>
            <w:r>
              <w:rPr>
                <w:sz w:val="17"/>
              </w:rPr>
              <w:t>60.2</w:t>
            </w:r>
          </w:p>
        </w:tc>
        <w:tc>
          <w:tcPr>
            <w:tcW w:type="dxa" w:w="1296"/>
          </w:tcPr>
          <w:p>
            <w:r/>
            <w:r>
              <w:rPr>
                <w:sz w:val="17"/>
              </w:rPr>
              <w:t>Consolidate</w:t>
            </w:r>
          </w:p>
        </w:tc>
        <w:tc>
          <w:tcPr>
            <w:tcW w:type="dxa" w:w="3024"/>
          </w:tcPr>
          <w:p>
            <w:r/>
            <w:r>
              <w:rPr>
                <w:sz w:val="17"/>
              </w:rPr>
              <w:t>cap 209; 112,000 units/day</w:t>
            </w:r>
          </w:p>
        </w:tc>
        <w:tc>
          <w:tcPr>
            <w:tcW w:type="dxa" w:w="2160"/>
          </w:tcPr>
          <w:p>
            <w:r/>
            <w:r>
              <w:rPr>
                <w:sz w:val="17"/>
              </w:rPr>
              <w:t>All volume to PLANT13 (PORT04)</w:t>
            </w:r>
          </w:p>
        </w:tc>
        <w:tc>
          <w:tcPr>
            <w:tcW w:type="dxa" w:w="2160"/>
          </w:tcPr>
          <w:p>
            <w:r/>
            <w:r>
              <w:rPr>
                <w:sz w:val="17"/>
              </w:rPr>
              <w:t>-$33,984/day (-$12.40M annualized)</w:t>
            </w:r>
          </w:p>
        </w:tc>
      </w:tr>
      <w:tr>
        <w:tc>
          <w:tcPr>
            <w:tcW w:type="dxa" w:w="1152"/>
          </w:tcPr>
          <w:p>
            <w:r/>
            <w:r>
              <w:rPr>
                <w:sz w:val="17"/>
              </w:rPr>
              <w:t>PLANT18</w:t>
            </w:r>
          </w:p>
        </w:tc>
        <w:tc>
          <w:tcPr>
            <w:tcW w:type="dxa" w:w="720"/>
          </w:tcPr>
          <w:p>
            <w:r/>
            <w:r>
              <w:rPr>
                <w:sz w:val="17"/>
              </w:rPr>
              <w:t>60.1</w:t>
            </w:r>
          </w:p>
        </w:tc>
        <w:tc>
          <w:tcPr>
            <w:tcW w:type="dxa" w:w="1296"/>
          </w:tcPr>
          <w:p>
            <w:r/>
            <w:r>
              <w:rPr>
                <w:sz w:val="17"/>
              </w:rPr>
              <w:t>Close (conditional)</w:t>
            </w:r>
          </w:p>
        </w:tc>
        <w:tc>
          <w:tcPr>
            <w:tcW w:type="dxa" w:w="3024"/>
          </w:tcPr>
          <w:p>
            <w:r/>
            <w:r>
              <w:rPr>
                <w:sz w:val="17"/>
              </w:rPr>
              <w:t>cap 111; no observed volume</w:t>
            </w:r>
          </w:p>
        </w:tc>
        <w:tc>
          <w:tcPr>
            <w:tcW w:type="dxa" w:w="2160"/>
          </w:tcPr>
          <w:p>
            <w:r/>
            <w:r>
              <w:rPr>
                <w:sz w:val="17"/>
              </w:rPr>
              <w:t>Port-access transfer or 3PL at PORT11 first</w:t>
            </w:r>
          </w:p>
        </w:tc>
        <w:tc>
          <w:tcPr>
            <w:tcW w:type="dxa" w:w="2160"/>
          </w:tcPr>
          <w:p>
            <w:r/>
            <w:r>
              <w:rPr>
                <w:sz w:val="17"/>
              </w:rPr>
              <w:t>$0 observed; +24.9% carrier-matched rate premium if PORT11 volume rerouted via PORT04</w:t>
            </w:r>
          </w:p>
        </w:tc>
      </w:tr>
    </w:tbl>
    <w:p>
      <w:pPr>
        <w:spacing w:after="160"/>
      </w:pPr>
      <w:r>
        <w:rPr>
          <w:b w:val="0"/>
          <w:i w:val="0"/>
          <w:sz w:val="19"/>
        </w:rPr>
        <w:t>Combined program. Closing PLANT19 and PLANT18 and consolidating PLANT08, PLANT09 and PLANT12 into PLANT13 (primary absorber, cheapest retained CPU at 0.470 $/unit) shrinks the PORT04 cluster from 7 plants to 4. Net variable warehousing impact: -$47,669 per extract-day (-$17.4M annualized upper bound; actual cadence unknown - treat as directional). Freight impact $0: all moves stay within PORT04, leaving lanes and carrier rate cards unchanged. Fixed-cost avoidance of $150k-$400k per closed node (parameterized - not in client data) adds $0.75M-$2.0M per year at full wind-down. Capacity headroom check in capacity-equivalent units (conversion 5,096.4 observed units per stated capacity unit) is directional only pending an ERP unit-basis audit.</w:t>
      </w:r>
    </w:p>
    <w:p>
      <w:pPr>
        <w:pStyle w:val="Heading1"/>
      </w:pPr>
      <w:r>
        <w:rPr>
          <w:rFonts w:ascii="Calibri" w:hAnsi="Calibri"/>
          <w:color w:val="1F3864"/>
        </w:rPr>
        <w:t>3. Implementation Risk Assessment</w:t>
      </w:r>
    </w:p>
    <w:p>
      <w:pPr>
        <w:spacing w:after="80"/>
      </w:pPr>
      <w:r>
        <w:rPr>
          <w:b w:val="0"/>
          <w:i w:val="0"/>
          <w:sz w:val="19"/>
        </w:rPr>
        <w:t>Customer attrition risk (Q4-2023 complaint log and satisfaction survey, cross-referenced in the Risk_Matrix tab). All three consolidation candidates with VOC coverage rate High risk:</w:t>
      </w:r>
    </w:p>
    <w:tbl>
      <w:tblPr>
        <w:tblStyle w:val="LightGrid-Accent1"/>
        <w:tblW w:type="auto" w:w="0"/>
        <w:jc w:val="center"/>
        <w:tblLook w:firstColumn="1" w:firstRow="1" w:lastColumn="0" w:lastRow="0" w:noHBand="0" w:noVBand="1" w:val="04A0"/>
      </w:tblPr>
      <w:tblGrid>
        <w:gridCol w:w="2556"/>
        <w:gridCol w:w="2556"/>
        <w:gridCol w:w="2556"/>
        <w:gridCol w:w="2556"/>
      </w:tblGrid>
      <w:tr>
        <w:tc>
          <w:tcPr>
            <w:tcW w:type="dxa" w:w="1152"/>
          </w:tcPr>
          <w:p>
            <w:r/>
            <w:r>
              <w:rPr>
                <w:b/>
                <w:sz w:val="17"/>
              </w:rPr>
              <w:t>Candidate</w:t>
            </w:r>
          </w:p>
        </w:tc>
        <w:tc>
          <w:tcPr>
            <w:tcW w:type="dxa" w:w="4176"/>
          </w:tcPr>
          <w:p>
            <w:r/>
            <w:r>
              <w:rPr>
                <w:b/>
                <w:sz w:val="17"/>
              </w:rPr>
              <w:t>Evidence</w:t>
            </w:r>
          </w:p>
        </w:tc>
        <w:tc>
          <w:tcPr>
            <w:tcW w:type="dxa" w:w="2304"/>
          </w:tcPr>
          <w:p>
            <w:r/>
            <w:r>
              <w:rPr>
                <w:b/>
                <w:sz w:val="17"/>
              </w:rPr>
              <w:t>Exposure</w:t>
            </w:r>
          </w:p>
        </w:tc>
        <w:tc>
          <w:tcPr>
            <w:tcW w:type="dxa" w:w="2448"/>
          </w:tcPr>
          <w:p>
            <w:r/>
            <w:r>
              <w:rPr>
                <w:b/>
                <w:sz w:val="17"/>
              </w:rPr>
              <w:t>Mitigation</w:t>
            </w:r>
          </w:p>
        </w:tc>
      </w:tr>
      <w:tr>
        <w:tc>
          <w:tcPr>
            <w:tcW w:type="dxa" w:w="1152"/>
          </w:tcPr>
          <w:p>
            <w:r/>
            <w:r>
              <w:rPr>
                <w:sz w:val="17"/>
              </w:rPr>
              <w:t>PLANT09</w:t>
            </w:r>
          </w:p>
        </w:tc>
        <w:tc>
          <w:tcPr>
            <w:tcW w:type="dxa" w:w="4176"/>
          </w:tcPr>
          <w:p>
            <w:r/>
            <w:r>
              <w:rPr>
                <w:sz w:val="17"/>
              </w:rPr>
              <w:t>Satisfaction 2.50/5 (network low), 50% would recommend, 3 complaints (2 open, incl. High-severity C-014 adjacent-bin pick error)</w:t>
            </w:r>
          </w:p>
        </w:tc>
        <w:tc>
          <w:tcPr>
            <w:tcW w:type="dxa" w:w="2304"/>
          </w:tcPr>
          <w:p>
            <w:r/>
            <w:r>
              <w:rPr>
                <w:sz w:val="17"/>
              </w:rPr>
              <w:t>Only 2 order customers - each loss material</w:t>
            </w:r>
          </w:p>
        </w:tc>
        <w:tc>
          <w:tcPr>
            <w:tcW w:type="dxa" w:w="2448"/>
          </w:tcPr>
          <w:p>
            <w:r/>
            <w:r>
              <w:rPr>
                <w:sz w:val="17"/>
              </w:rPr>
              <w:t>White-glove migration; close C-009 (22 days open) and C-014 pre-move</w:t>
            </w:r>
          </w:p>
        </w:tc>
      </w:tr>
      <w:tr>
        <w:tc>
          <w:tcPr>
            <w:tcW w:type="dxa" w:w="1152"/>
          </w:tcPr>
          <w:p>
            <w:r/>
            <w:r>
              <w:rPr>
                <w:sz w:val="17"/>
              </w:rPr>
              <w:t>PLANT08</w:t>
            </w:r>
          </w:p>
        </w:tc>
        <w:tc>
          <w:tcPr>
            <w:tcW w:type="dxa" w:w="4176"/>
          </w:tcPr>
          <w:p>
            <w:r/>
            <w:r>
              <w:rPr>
                <w:sz w:val="17"/>
              </w:rPr>
              <w:t>Late-shipment rate 17.65% (network worst); 2 of 3 complaints open incl. carrier-capacity-driven C-002 (22 days)</w:t>
            </w:r>
          </w:p>
        </w:tc>
        <w:tc>
          <w:tcPr>
            <w:tcW w:type="dxa" w:w="2304"/>
          </w:tcPr>
          <w:p>
            <w:r/>
            <w:r>
              <w:rPr>
                <w:sz w:val="17"/>
              </w:rPr>
              <w:t>5 order customers</w:t>
            </w:r>
          </w:p>
        </w:tc>
        <w:tc>
          <w:tcPr>
            <w:tcW w:type="dxa" w:w="2448"/>
          </w:tcPr>
          <w:p>
            <w:r/>
            <w:r>
              <w:rPr>
                <w:sz w:val="17"/>
              </w:rPr>
              <w:t>Notify accounts 30 days ahead; copy complaint history to PLANT13; weekly late% monitor</w:t>
            </w:r>
          </w:p>
        </w:tc>
      </w:tr>
      <w:tr>
        <w:tc>
          <w:tcPr>
            <w:tcW w:type="dxa" w:w="1152"/>
          </w:tcPr>
          <w:p>
            <w:r/>
            <w:r>
              <w:rPr>
                <w:sz w:val="17"/>
              </w:rPr>
              <w:t>PLANT12</w:t>
            </w:r>
          </w:p>
        </w:tc>
        <w:tc>
          <w:tcPr>
            <w:tcW w:type="dxa" w:w="4176"/>
          </w:tcPr>
          <w:p>
            <w:r/>
            <w:r>
              <w:rPr>
                <w:sz w:val="17"/>
              </w:rPr>
              <w:t>2 escalated wrong-item complaints open 13-19 days (labeling mix-ups at high-volume shifts)</w:t>
            </w:r>
          </w:p>
        </w:tc>
        <w:tc>
          <w:tcPr>
            <w:tcW w:type="dxa" w:w="2304"/>
          </w:tcPr>
          <w:p>
            <w:r/>
            <w:r>
              <w:rPr>
                <w:sz w:val="17"/>
              </w:rPr>
              <w:t>13 order customers - highest exposure among candidates</w:t>
            </w:r>
          </w:p>
        </w:tc>
        <w:tc>
          <w:tcPr>
            <w:tcW w:type="dxa" w:w="2448"/>
          </w:tcPr>
          <w:p>
            <w:r/>
            <w:r>
              <w:rPr>
                <w:sz w:val="17"/>
              </w:rPr>
              <w:t>Migrate in 3 waves; transfer bin-labeling audit to PLANT13; 90-day complaint watch</w:t>
            </w:r>
          </w:p>
        </w:tc>
      </w:tr>
    </w:tbl>
    <w:p>
      <w:pPr>
        <w:spacing w:after="160"/>
      </w:pPr>
      <w:r>
        <w:rPr>
          <w:b w:val="0"/>
          <w:i w:val="0"/>
          <w:sz w:val="19"/>
        </w:rPr>
        <w:t>Structural and data risks. (1) PLANT18 closure strands PORT11: no other plant holds that access; the carrier-matched rate premium for rerouting via PORT04 is +24.9% (V444_8) with identical transit time, so the precondition is a contracting exercise - transfer or 3PL before closure. (2) Watchlist PLANT15 (PORT08) has no carrier overlap with PORT04 rate cards: any closure would reprice its lane from an unquantified base - monitor, do not close. (3) The order extract is one day and covers 7 of 19 plants; VOC data is ten years newer (2023 vs 2013); unit bases differ by ~5,096x. Phase 1 of any program must be a full-period, all-plant extract plus ERP unit-basis audit before physical moves. (4) PLANT19 and PLANT18 have no survey or complaint coverage: run a targeted VOC pulse (target &gt;= 60% response) before executing either closure.</w:t>
      </w:r>
    </w:p>
    <w:p>
      <w:pPr>
        <w:pStyle w:val="Heading1"/>
      </w:pPr>
      <w:r>
        <w:rPr>
          <w:rFonts w:ascii="Calibri" w:hAnsi="Calibri"/>
          <w:color w:val="1F3864"/>
        </w:rPr>
        <w:t>4. Go/No-Go Matrix</w:t>
      </w:r>
    </w:p>
    <w:tbl>
      <w:tblPr>
        <w:tblStyle w:val="LightGrid-Accent1"/>
        <w:tblW w:type="auto" w:w="0"/>
        <w:jc w:val="center"/>
        <w:tblLook w:firstColumn="1" w:firstRow="1" w:lastColumn="0" w:lastRow="0" w:noHBand="0" w:noVBand="1" w:val="04A0"/>
      </w:tblPr>
      <w:tblGrid>
        <w:gridCol w:w="2045"/>
        <w:gridCol w:w="2045"/>
        <w:gridCol w:w="2045"/>
        <w:gridCol w:w="2045"/>
        <w:gridCol w:w="2045"/>
      </w:tblGrid>
      <w:tr>
        <w:tc>
          <w:tcPr>
            <w:tcW w:type="dxa" w:w="1152"/>
          </w:tcPr>
          <w:p>
            <w:r/>
            <w:r>
              <w:rPr>
                <w:b/>
                <w:sz w:val="17"/>
              </w:rPr>
              <w:t>Candidate</w:t>
            </w:r>
          </w:p>
        </w:tc>
        <w:tc>
          <w:tcPr>
            <w:tcW w:type="dxa" w:w="1728"/>
          </w:tcPr>
          <w:p>
            <w:r/>
            <w:r>
              <w:rPr>
                <w:b/>
                <w:sz w:val="17"/>
              </w:rPr>
              <w:t>Recommended Action</w:t>
            </w:r>
          </w:p>
        </w:tc>
        <w:tc>
          <w:tcPr>
            <w:tcW w:type="dxa" w:w="1152"/>
          </w:tcPr>
          <w:p>
            <w:r/>
            <w:r>
              <w:rPr>
                <w:b/>
                <w:sz w:val="17"/>
              </w:rPr>
              <w:t>Confidence</w:t>
            </w:r>
          </w:p>
        </w:tc>
        <w:tc>
          <w:tcPr>
            <w:tcW w:type="dxa" w:w="2880"/>
          </w:tcPr>
          <w:p>
            <w:r/>
            <w:r>
              <w:rPr>
                <w:b/>
                <w:sz w:val="17"/>
              </w:rPr>
              <w:t>Binding Condition</w:t>
            </w:r>
          </w:p>
        </w:tc>
        <w:tc>
          <w:tcPr>
            <w:tcW w:type="dxa" w:w="3168"/>
          </w:tcPr>
          <w:p>
            <w:r/>
            <w:r>
              <w:rPr>
                <w:b/>
                <w:sz w:val="17"/>
              </w:rPr>
              <w:t>First 90 Days</w:t>
            </w:r>
          </w:p>
        </w:tc>
      </w:tr>
      <w:tr>
        <w:tc>
          <w:tcPr>
            <w:tcW w:type="dxa" w:w="1152"/>
          </w:tcPr>
          <w:p>
            <w:r/>
            <w:r>
              <w:rPr>
                <w:sz w:val="17"/>
              </w:rPr>
              <w:t>PLANT19</w:t>
            </w:r>
          </w:p>
        </w:tc>
        <w:tc>
          <w:tcPr>
            <w:tcW w:type="dxa" w:w="1728"/>
          </w:tcPr>
          <w:p>
            <w:r/>
            <w:r>
              <w:rPr>
                <w:sz w:val="17"/>
              </w:rPr>
              <w:t>Close</w:t>
            </w:r>
          </w:p>
        </w:tc>
        <w:tc>
          <w:tcPr>
            <w:tcW w:type="dxa" w:w="1152"/>
          </w:tcPr>
          <w:p>
            <w:r/>
            <w:r>
              <w:rPr>
                <w:sz w:val="17"/>
              </w:rPr>
              <w:t>High</w:t>
            </w:r>
          </w:p>
        </w:tc>
        <w:tc>
          <w:tcPr>
            <w:tcW w:type="dxa" w:w="2880"/>
          </w:tcPr>
          <w:p>
            <w:r/>
            <w:r>
              <w:rPr>
                <w:sz w:val="17"/>
              </w:rPr>
              <w:t>None (redundant node, 6 absorbers)</w:t>
            </w:r>
          </w:p>
        </w:tc>
        <w:tc>
          <w:tcPr>
            <w:tcW w:type="dxa" w:w="3168"/>
          </w:tcPr>
          <w:p>
            <w:r/>
            <w:r>
              <w:rPr>
                <w:sz w:val="17"/>
              </w:rPr>
              <w:t>Transfer PORT04 service role; wind down site</w:t>
            </w:r>
          </w:p>
        </w:tc>
      </w:tr>
      <w:tr>
        <w:tc>
          <w:tcPr>
            <w:tcW w:type="dxa" w:w="1152"/>
          </w:tcPr>
          <w:p>
            <w:r/>
            <w:r>
              <w:rPr>
                <w:sz w:val="17"/>
              </w:rPr>
              <w:t>PLANT08</w:t>
            </w:r>
          </w:p>
        </w:tc>
        <w:tc>
          <w:tcPr>
            <w:tcW w:type="dxa" w:w="1728"/>
          </w:tcPr>
          <w:p>
            <w:r/>
            <w:r>
              <w:rPr>
                <w:sz w:val="17"/>
              </w:rPr>
              <w:t>Consolidate</w:t>
            </w:r>
          </w:p>
        </w:tc>
        <w:tc>
          <w:tcPr>
            <w:tcW w:type="dxa" w:w="1152"/>
          </w:tcPr>
          <w:p>
            <w:r/>
            <w:r>
              <w:rPr>
                <w:sz w:val="17"/>
              </w:rPr>
              <w:t>High</w:t>
            </w:r>
          </w:p>
        </w:tc>
        <w:tc>
          <w:tcPr>
            <w:tcW w:type="dxa" w:w="2880"/>
          </w:tcPr>
          <w:p>
            <w:r/>
            <w:r>
              <w:rPr>
                <w:sz w:val="17"/>
              </w:rPr>
              <w:t>PLANT13 capacity intake confirmed</w:t>
            </w:r>
          </w:p>
        </w:tc>
        <w:tc>
          <w:tcPr>
            <w:tcW w:type="dxa" w:w="3168"/>
          </w:tcPr>
          <w:p>
            <w:r/>
            <w:r>
              <w:rPr>
                <w:sz w:val="17"/>
              </w:rPr>
              <w:t>Move volume in 2 waves; resolve open complaints first</w:t>
            </w:r>
          </w:p>
        </w:tc>
      </w:tr>
      <w:tr>
        <w:tc>
          <w:tcPr>
            <w:tcW w:type="dxa" w:w="1152"/>
          </w:tcPr>
          <w:p>
            <w:r/>
            <w:r>
              <w:rPr>
                <w:sz w:val="17"/>
              </w:rPr>
              <w:t>PLANT09</w:t>
            </w:r>
          </w:p>
        </w:tc>
        <w:tc>
          <w:tcPr>
            <w:tcW w:type="dxa" w:w="1728"/>
          </w:tcPr>
          <w:p>
            <w:r/>
            <w:r>
              <w:rPr>
                <w:sz w:val="17"/>
              </w:rPr>
              <w:t>Consolidate</w:t>
            </w:r>
          </w:p>
        </w:tc>
        <w:tc>
          <w:tcPr>
            <w:tcW w:type="dxa" w:w="1152"/>
          </w:tcPr>
          <w:p>
            <w:r/>
            <w:r>
              <w:rPr>
                <w:sz w:val="17"/>
              </w:rPr>
              <w:t>Medium</w:t>
            </w:r>
          </w:p>
        </w:tc>
        <w:tc>
          <w:tcPr>
            <w:tcW w:type="dxa" w:w="2880"/>
          </w:tcPr>
          <w:p>
            <w:r/>
            <w:r>
              <w:rPr>
                <w:sz w:val="17"/>
              </w:rPr>
              <w:t>Retention plan for 2 named accounts accepted</w:t>
            </w:r>
          </w:p>
        </w:tc>
        <w:tc>
          <w:tcPr>
            <w:tcW w:type="dxa" w:w="3168"/>
          </w:tcPr>
          <w:p>
            <w:r/>
            <w:r>
              <w:rPr>
                <w:sz w:val="17"/>
              </w:rPr>
              <w:t>White-glove cutover; close C-009/C-014</w:t>
            </w:r>
          </w:p>
        </w:tc>
      </w:tr>
      <w:tr>
        <w:tc>
          <w:tcPr>
            <w:tcW w:type="dxa" w:w="1152"/>
          </w:tcPr>
          <w:p>
            <w:r/>
            <w:r>
              <w:rPr>
                <w:sz w:val="17"/>
              </w:rPr>
              <w:t>PLANT12</w:t>
            </w:r>
          </w:p>
        </w:tc>
        <w:tc>
          <w:tcPr>
            <w:tcW w:type="dxa" w:w="1728"/>
          </w:tcPr>
          <w:p>
            <w:r/>
            <w:r>
              <w:rPr>
                <w:sz w:val="17"/>
              </w:rPr>
              <w:t>Consolidate</w:t>
            </w:r>
          </w:p>
        </w:tc>
        <w:tc>
          <w:tcPr>
            <w:tcW w:type="dxa" w:w="1152"/>
          </w:tcPr>
          <w:p>
            <w:r/>
            <w:r>
              <w:rPr>
                <w:sz w:val="17"/>
              </w:rPr>
              <w:t>Medium</w:t>
            </w:r>
          </w:p>
        </w:tc>
        <w:tc>
          <w:tcPr>
            <w:tcW w:type="dxa" w:w="2880"/>
          </w:tcPr>
          <w:p>
            <w:r/>
            <w:r>
              <w:rPr>
                <w:sz w:val="17"/>
              </w:rPr>
              <w:t>3-wave customer migration plan signed off</w:t>
            </w:r>
          </w:p>
        </w:tc>
        <w:tc>
          <w:tcPr>
            <w:tcW w:type="dxa" w:w="3168"/>
          </w:tcPr>
          <w:p>
            <w:r/>
            <w:r>
              <w:rPr>
                <w:sz w:val="17"/>
              </w:rPr>
              <w:t>Wave 1 (5 accounts); labeling audit at PLANT13</w:t>
            </w:r>
          </w:p>
        </w:tc>
      </w:tr>
      <w:tr>
        <w:tc>
          <w:tcPr>
            <w:tcW w:type="dxa" w:w="1152"/>
          </w:tcPr>
          <w:p>
            <w:r/>
            <w:r>
              <w:rPr>
                <w:sz w:val="17"/>
              </w:rPr>
              <w:t>PLANT18</w:t>
            </w:r>
          </w:p>
        </w:tc>
        <w:tc>
          <w:tcPr>
            <w:tcW w:type="dxa" w:w="1728"/>
          </w:tcPr>
          <w:p>
            <w:r/>
            <w:r>
              <w:rPr>
                <w:sz w:val="17"/>
              </w:rPr>
              <w:t>Close - conditional</w:t>
            </w:r>
          </w:p>
        </w:tc>
        <w:tc>
          <w:tcPr>
            <w:tcW w:type="dxa" w:w="1152"/>
          </w:tcPr>
          <w:p>
            <w:r/>
            <w:r>
              <w:rPr>
                <w:sz w:val="17"/>
              </w:rPr>
              <w:t>Medium</w:t>
            </w:r>
          </w:p>
        </w:tc>
        <w:tc>
          <w:tcPr>
            <w:tcW w:type="dxa" w:w="2880"/>
          </w:tcPr>
          <w:p>
            <w:r/>
            <w:r>
              <w:rPr>
                <w:sz w:val="17"/>
              </w:rPr>
              <w:t>PORT11 access transferred or 3PL contracted</w:t>
            </w:r>
          </w:p>
        </w:tc>
        <w:tc>
          <w:tcPr>
            <w:tcW w:type="dxa" w:w="3168"/>
          </w:tcPr>
          <w:p>
            <w:r/>
            <w:r>
              <w:rPr>
                <w:sz w:val="17"/>
              </w:rPr>
              <w:t>VOC pulse; access-transfer negotiation</w:t>
            </w:r>
          </w:p>
        </w:tc>
      </w:tr>
    </w:tbl>
    <w:p>
      <w:pPr>
        <w:spacing w:after="160"/>
      </w:pPr>
      <w:r>
        <w:rPr>
          <w:b w:val="0"/>
          <w:i w:val="0"/>
          <w:sz w:val="19"/>
        </w:rPr>
        <w:t>Retain-and-monitor (no action this cycle): PLANT11 (57.1 - redundant but retains option value as absorber), PLANT15 (54.9 - unabsorbable port), PLANT16 (45.1 - costly but load-bearing and port-unique). Re-score after the phase-1 data refresh.</w:t>
      </w:r>
    </w:p>
    <w:p>
      <w:pPr>
        <w:pStyle w:val="Heading1"/>
      </w:pPr>
      <w:r>
        <w:rPr>
          <w:rFonts w:ascii="Calibri" w:hAnsi="Calibri"/>
          <w:color w:val="1F3864"/>
        </w:rPr>
        <w:t>5. COO Memo vs Board Directive: Alignment and Conflicts</w:t>
      </w:r>
    </w:p>
    <w:tbl>
      <w:tblPr>
        <w:tblStyle w:val="LightGrid-Accent1"/>
        <w:tblW w:type="auto" w:w="0"/>
        <w:jc w:val="center"/>
        <w:tblLook w:firstColumn="1" w:firstRow="1" w:lastColumn="0" w:lastRow="0" w:noHBand="0" w:noVBand="1" w:val="04A0"/>
      </w:tblPr>
      <w:tblGrid>
        <w:gridCol w:w="2556"/>
        <w:gridCol w:w="2556"/>
        <w:gridCol w:w="2556"/>
        <w:gridCol w:w="2556"/>
      </w:tblGrid>
      <w:tr>
        <w:tc>
          <w:tcPr>
            <w:tcW w:type="dxa" w:w="1728"/>
          </w:tcPr>
          <w:p>
            <w:r/>
            <w:r>
              <w:rPr>
                <w:b/>
                <w:sz w:val="17"/>
              </w:rPr>
              <w:t>Dimension</w:t>
            </w:r>
          </w:p>
        </w:tc>
        <w:tc>
          <w:tcPr>
            <w:tcW w:type="dxa" w:w="2880"/>
          </w:tcPr>
          <w:p>
            <w:r/>
            <w:r>
              <w:rPr>
                <w:b/>
                <w:sz w:val="17"/>
              </w:rPr>
              <w:t>COO Memo (Jan 15, 2024)</w:t>
            </w:r>
          </w:p>
        </w:tc>
        <w:tc>
          <w:tcPr>
            <w:tcW w:type="dxa" w:w="2448"/>
          </w:tcPr>
          <w:p>
            <w:r/>
            <w:r>
              <w:rPr>
                <w:b/>
                <w:sz w:val="17"/>
              </w:rPr>
              <w:t>Board Directive</w:t>
            </w:r>
          </w:p>
        </w:tc>
        <w:tc>
          <w:tcPr>
            <w:tcW w:type="dxa" w:w="3744"/>
          </w:tcPr>
          <w:p>
            <w:r/>
            <w:r>
              <w:rPr>
                <w:b/>
                <w:sz w:val="17"/>
              </w:rPr>
              <w:t>Consultant Position</w:t>
            </w:r>
          </w:p>
        </w:tc>
      </w:tr>
      <w:tr>
        <w:tc>
          <w:tcPr>
            <w:tcW w:type="dxa" w:w="1728"/>
          </w:tcPr>
          <w:p>
            <w:r/>
            <w:r>
              <w:rPr>
                <w:sz w:val="17"/>
              </w:rPr>
              <w:t>Scope</w:t>
            </w:r>
          </w:p>
        </w:tc>
        <w:tc>
          <w:tcPr>
            <w:tcW w:type="dxa" w:w="2880"/>
          </w:tcPr>
          <w:p>
            <w:r/>
            <w:r>
              <w:rPr>
                <w:sz w:val="17"/>
              </w:rPr>
              <w:t>Network-wide efficiency review: freight costs, late shipments, utilization, carrier/rate variability</w:t>
            </w:r>
          </w:p>
        </w:tc>
        <w:tc>
          <w:tcPr>
            <w:tcW w:type="dxa" w:w="2448"/>
          </w:tcPr>
          <w:p>
            <w:r/>
            <w:r>
              <w:rPr>
                <w:sz w:val="17"/>
              </w:rPr>
              <w:t>Narrow to structural consolidation of 3-5 plants</w:t>
            </w:r>
          </w:p>
        </w:tc>
        <w:tc>
          <w:tcPr>
            <w:tcW w:type="dxa" w:w="3744"/>
          </w:tcPr>
          <w:p>
            <w:r/>
            <w:r>
              <w:rPr>
                <w:sz w:val="17"/>
              </w:rPr>
              <w:t>Both are served: consolidation candidates emerge from the same utilization and cost evidence; freight workstream continues in parallel</w:t>
            </w:r>
          </w:p>
        </w:tc>
      </w:tr>
      <w:tr>
        <w:tc>
          <w:tcPr>
            <w:tcW w:type="dxa" w:w="1728"/>
          </w:tcPr>
          <w:p>
            <w:r/>
            <w:r>
              <w:rPr>
                <w:sz w:val="17"/>
              </w:rPr>
              <w:t>Deliverables</w:t>
            </w:r>
          </w:p>
        </w:tc>
        <w:tc>
          <w:tcPr>
            <w:tcW w:type="dxa" w:w="2880"/>
          </w:tcPr>
          <w:p>
            <w:r/>
            <w:r>
              <w:rPr>
                <w:sz w:val="17"/>
              </w:rPr>
              <w:t>Excel workbook + 10-page executive summary</w:t>
            </w:r>
          </w:p>
        </w:tc>
        <w:tc>
          <w:tcPr>
            <w:tcW w:type="dxa" w:w="2448"/>
          </w:tcPr>
          <w:p>
            <w:r/>
            <w:r>
              <w:rPr>
                <w:sz w:val="17"/>
              </w:rPr>
              <w:t>This 5-page Board Decision Brief + 4-tab scoring model</w:t>
            </w:r>
          </w:p>
        </w:tc>
        <w:tc>
          <w:tcPr>
            <w:tcW w:type="dxa" w:w="3744"/>
          </w:tcPr>
          <w:p>
            <w:r/>
            <w:r>
              <w:rPr>
                <w:sz w:val="17"/>
              </w:rPr>
              <w:t>Board format supersedes for this cycle; memo deliverables remain the phase-2 backlog</w:t>
            </w:r>
          </w:p>
        </w:tc>
      </w:tr>
      <w:tr>
        <w:tc>
          <w:tcPr>
            <w:tcW w:type="dxa" w:w="1728"/>
          </w:tcPr>
          <w:p>
            <w:r/>
            <w:r>
              <w:rPr>
                <w:sz w:val="17"/>
              </w:rPr>
              <w:t>PLANT01/PLANT15 throughput narrative</w:t>
            </w:r>
          </w:p>
        </w:tc>
        <w:tc>
          <w:tcPr>
            <w:tcW w:type="dxa" w:w="2880"/>
          </w:tcPr>
          <w:p>
            <w:r/>
            <w:r>
              <w:rPr>
                <w:sz w:val="17"/>
              </w:rPr>
              <w:t>Cites 1,070 and 11 units/day as throughput</w:t>
            </w:r>
          </w:p>
        </w:tc>
        <w:tc>
          <w:tcPr>
            <w:tcW w:type="dxa" w:w="2448"/>
          </w:tcPr>
          <w:p>
            <w:r/>
            <w:r>
              <w:rPr>
                <w:sz w:val="17"/>
              </w:rPr>
              <w:t>Assumes some plants are structurally unviable</w:t>
            </w:r>
          </w:p>
        </w:tc>
        <w:tc>
          <w:tcPr>
            <w:tcW w:type="dxa" w:w="3744"/>
          </w:tcPr>
          <w:p>
            <w:r/>
            <w:r>
              <w:rPr>
                <w:sz w:val="17"/>
              </w:rPr>
              <w:t>Memo figures are stated capacities, not observed throughput (12 plants incl. PLANT01 have no orders in the extract); the board should not act on the memo's utilization examples as stated</w:t>
            </w:r>
          </w:p>
        </w:tc>
      </w:tr>
      <w:tr>
        <w:tc>
          <w:tcPr>
            <w:tcW w:type="dxa" w:w="1728"/>
          </w:tcPr>
          <w:p>
            <w:r/>
            <w:r>
              <w:rPr>
                <w:sz w:val="17"/>
              </w:rPr>
              <w:t>PLANT15 as consolidation example</w:t>
            </w:r>
          </w:p>
        </w:tc>
        <w:tc>
          <w:tcPr>
            <w:tcW w:type="dxa" w:w="2880"/>
          </w:tcPr>
          <w:p>
            <w:r/>
            <w:r>
              <w:rPr>
                <w:sz w:val="17"/>
              </w:rPr>
              <w:t>Memo implies low-volume plants like PLANT15 should consolidate or be repurposed</w:t>
            </w:r>
          </w:p>
        </w:tc>
        <w:tc>
          <w:tcPr>
            <w:tcW w:type="dxa" w:w="2448"/>
          </w:tcPr>
          <w:p>
            <w:r/>
            <w:r>
              <w:rPr>
                <w:sz w:val="17"/>
              </w:rPr>
              <w:t>Requires topology-aware planning</w:t>
            </w:r>
          </w:p>
        </w:tc>
        <w:tc>
          <w:tcPr>
            <w:tcW w:type="dxa" w:w="3744"/>
          </w:tcPr>
          <w:p>
            <w:r/>
            <w:r>
              <w:rPr>
                <w:sz w:val="17"/>
              </w:rPr>
              <w:t>Data contradicts the example: PLANT15 (PORT08) has no feasible absorber and no rate-card overlap - consolidation would strand the port. It stays on the watchlist</w:t>
            </w:r>
          </w:p>
        </w:tc>
      </w:tr>
      <w:tr>
        <w:tc>
          <w:tcPr>
            <w:tcW w:type="dxa" w:w="1728"/>
          </w:tcPr>
          <w:p>
            <w:r/>
            <w:r>
              <w:rPr>
                <w:sz w:val="17"/>
              </w:rPr>
              <w:t>Definition of 'structurally unviable'</w:t>
            </w:r>
          </w:p>
        </w:tc>
        <w:tc>
          <w:tcPr>
            <w:tcW w:type="dxa" w:w="2880"/>
          </w:tcPr>
          <w:p>
            <w:r/>
            <w:r>
              <w:rPr>
                <w:sz w:val="17"/>
              </w:rPr>
              <w:t>Not defined</w:t>
            </w:r>
          </w:p>
        </w:tc>
        <w:tc>
          <w:tcPr>
            <w:tcW w:type="dxa" w:w="2448"/>
          </w:tcPr>
          <w:p>
            <w:r/>
            <w:r>
              <w:rPr>
                <w:sz w:val="17"/>
              </w:rPr>
              <w:t>Required by board</w:t>
            </w:r>
          </w:p>
        </w:tc>
        <w:tc>
          <w:tcPr>
            <w:tcW w:type="dxa" w:w="3744"/>
          </w:tcPr>
          <w:p>
            <w:r/>
            <w:r>
              <w:rPr>
                <w:sz w:val="17"/>
              </w:rPr>
              <w:t>Operationalized here as five measurable conditions (Section 1), scored F1-F5</w:t>
            </w:r>
          </w:p>
        </w:tc>
      </w:tr>
    </w:tbl>
    <w:p>
      <w:pPr>
        <w:spacing w:after="40"/>
      </w:pPr>
      <w:r>
        <w:rPr>
          <w:b/>
          <w:i w:val="0"/>
          <w:sz w:val="19"/>
        </w:rPr>
        <w:t>Bottom line for the Board: approve consolidation of PLANT08, PLANT09 and PLANT12 into PLANT13, approve closure of PLANT19 unconditionally and PLANT18 conditionally on the PORT11 access transfer, and fund the phase-1 data refresh (full-period extract, ERP unit-basis audit, fixed-cost GL extraction) before any physical closure.</w:t>
      </w:r>
    </w:p>
    <w:p>
      <w:pPr>
        <w:spacing w:after="80"/>
      </w:pPr>
      <w:r>
        <w:rPr>
          <w:b w:val="0"/>
          <w:i/>
          <w:sz w:val="17"/>
        </w:rPr>
        <w:t>Full quantitative support: NovaTrans_Plant_Consolidation_Scoring_Model.xlsx (Composite_Score, Consolidation_Scenarios, Risk_Matrix, Data_Reconciliation tabs).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