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tbl>
      <w:tblPr>
        <w:tblStyle w:val="TableGrid"/>
        <w:tblW w:type="auto" w:w="0"/>
        <w:tblLook w:firstColumn="1" w:firstRow="1" w:lastColumn="0" w:lastRow="0" w:noHBand="0" w:noVBand="1" w:val="04A0"/>
      </w:tblPr>
      <w:tblGrid>
        <w:gridCol w:w="4824"/>
        <w:gridCol w:w="4824"/>
      </w:tblGrid>
      <w:tr>
        <w:tc>
          <w:tcPr>
            <w:tcW w:type="dxa" w:w="1728"/>
          </w:tcPr>
          <w:p>
            <w:r/>
            <w:r>
              <w:rPr>
                <w:b/>
                <w:sz w:val="19"/>
              </w:rPr>
              <w:t>TO</w:t>
            </w:r>
          </w:p>
        </w:tc>
        <w:tc>
          <w:tcPr>
            <w:tcW w:type="dxa" w:w="8064"/>
          </w:tcPr>
          <w:p>
            <w:r/>
            <w:r>
              <w:rPr>
                <w:sz w:val="19"/>
              </w:rPr>
              <w:t>Mayor's Office; Members of the City Council</w:t>
            </w:r>
          </w:p>
        </w:tc>
      </w:tr>
      <w:tr>
        <w:tc>
          <w:tcPr>
            <w:tcW w:type="dxa" w:w="1728"/>
          </w:tcPr>
          <w:p>
            <w:r/>
            <w:r>
              <w:rPr>
                <w:b/>
                <w:sz w:val="19"/>
              </w:rPr>
              <w:t>FROM</w:t>
            </w:r>
          </w:p>
        </w:tc>
        <w:tc>
          <w:tcPr>
            <w:tcW w:type="dxa" w:w="8064"/>
          </w:tcPr>
          <w:p>
            <w:r/>
            <w:r>
              <w:rPr>
                <w:sz w:val="19"/>
              </w:rPr>
              <w:t>Office of Management Analysis, City of Greenfield</w:t>
            </w:r>
          </w:p>
        </w:tc>
      </w:tr>
      <w:tr>
        <w:tc>
          <w:tcPr>
            <w:tcW w:type="dxa" w:w="1728"/>
          </w:tcPr>
          <w:p>
            <w:r/>
            <w:r>
              <w:rPr>
                <w:b/>
                <w:sz w:val="19"/>
              </w:rPr>
              <w:t>DATE</w:t>
            </w:r>
          </w:p>
        </w:tc>
        <w:tc>
          <w:tcPr>
            <w:tcW w:type="dxa" w:w="8064"/>
          </w:tcPr>
          <w:p>
            <w:r/>
            <w:r>
              <w:rPr>
                <w:sz w:val="19"/>
              </w:rPr>
              <w:t>October 19, 2026</w:t>
            </w:r>
          </w:p>
        </w:tc>
      </w:tr>
      <w:tr>
        <w:tc>
          <w:tcPr>
            <w:tcW w:type="dxa" w:w="1728"/>
          </w:tcPr>
          <w:p>
            <w:r/>
            <w:r>
              <w:rPr>
                <w:b/>
                <w:sz w:val="19"/>
              </w:rPr>
              <w:t>RE</w:t>
            </w:r>
          </w:p>
        </w:tc>
        <w:tc>
          <w:tcPr>
            <w:tcW w:type="dxa" w:w="8064"/>
          </w:tcPr>
          <w:p>
            <w:r/>
            <w:r>
              <w:rPr>
                <w:sz w:val="19"/>
              </w:rPr>
              <w:t>Departmental Restructuring Decision - Analysis of Proposal A ("Consolidate") and Proposal B ("Targeted Fix") ahead of the Council vote</w:t>
            </w:r>
          </w:p>
        </w:tc>
      </w:tr>
      <w:tr>
        <w:tc>
          <w:tcPr>
            <w:tcW w:type="dxa" w:w="1728"/>
          </w:tcPr>
          <w:p>
            <w:r/>
            <w:r>
              <w:rPr>
                <w:b/>
                <w:sz w:val="19"/>
              </w:rPr>
              <w:t>ATTACHMENTS</w:t>
            </w:r>
          </w:p>
        </w:tc>
        <w:tc>
          <w:tcPr>
            <w:tcW w:type="dxa" w:w="8064"/>
          </w:tcPr>
          <w:p>
            <w:r/>
            <w:r>
              <w:rPr>
                <w:sz w:val="19"/>
              </w:rPr>
              <w:t>Cost-Benefit Analysis Workbook (4 tabs); Council Presentation (10 slides)</w:t>
            </w:r>
          </w:p>
        </w:tc>
      </w:tr>
    </w:tbl>
    <w:p/>
    <w:p>
      <w:pPr>
        <w:pStyle w:val="Heading1"/>
      </w:pPr>
      <w:r>
        <w:rPr>
          <w:color w:val="1F4E79"/>
        </w:rPr>
        <w:t>Executive Summary</w:t>
      </w:r>
    </w:p>
    <w:p>
      <w:r>
        <w:rPr>
          <w:b w:val="0"/>
          <w:sz w:val="21"/>
        </w:rPr>
        <w:t>Greenfield's five operating departments enter this decision with a citywide vacancy rate of 9.06% (54 of 596 authorized positions) and overtime running at 9.59% of regular hours ($4.35M). Beneath the citywide averages sit two departments in visible strain: Transportation (14.93% vacancy; worst citizen satisfaction at 3.36/5; 13.62-day average 311 resolution; three of the city's eight sub-65% on-time processes) and Health Services (16.67% vacancy; 26.1% turnover in Clinical Services). Fire Department overtime (14.57% of regular hours, breached in all 12 months of FY2024, $2.09M) is structural - driven by 24/7 minimum staffing, not vacancies.</w:t>
      </w:r>
    </w:p>
    <w:p>
      <w:r>
        <w:rPr>
          <w:b w:val="0"/>
          <w:sz w:val="21"/>
        </w:rPr>
        <w:t>This memo evaluates the two restructuring proposals against FY2024 operational data and the New York City post-pandemic staffing record (NYS Comptroller Report 2-2025), which Greenfield's situation mirrors in miniature: NYC's vacancy rate remains 5.1% against a 2.0% pre-pandemic norm, its overtime has grown from $1.11B to $1.81B while its share of payroll rose from 7.0% to 10.8%, and its Transportation and Health agencies still carry 10.0% and 9.3% vacancies.</w:t>
      </w:r>
    </w:p>
    <w:p>
      <w:pPr>
        <w:pStyle w:val="ListBullet"/>
      </w:pPr>
      <w:r>
        <w:rPr>
          <w:b/>
        </w:rPr>
        <w:t xml:space="preserve">Proposal A ("Consolidate") </w:t>
      </w:r>
      <w:r>
        <w:t>consolidates into three departments and yields the largest savings - $1,455,393 per year at steady state - but funds part of those savings by permanently abolishing 12.25 vacant positions (including 4 in Health Services, the city's most under-staffed department), fills no vacancies, and leaves Fire's structural overtime untouched. Year-1 net: +$751,736 after $121,500 one-time transition costs.</w:t>
      </w:r>
    </w:p>
    <w:p>
      <w:pPr>
        <w:pStyle w:val="ListBullet"/>
      </w:pPr>
      <w:r>
        <w:rPr>
          <w:b/>
        </w:rPr>
        <w:t xml:space="preserve">Proposal B ("Targeted Fix") </w:t>
      </w:r>
      <w:r>
        <w:t>retains all five departments and attacks root causes through three triggered interventions: centralized hiring in the 8 divisions exceeding 12% vacancy (12 hires), cross-training pools (16 FTE), and an overtime budget cap for Fire. It is a net investment: -$225,631 per year at steady state and -$285,942 in Year 1, in exchange for the strongest service-restoration profile.</w:t>
      </w:r>
    </w:p>
    <w:p>
      <w:pPr>
        <w:pStyle w:val="ListBullet"/>
      </w:pPr>
      <w:r>
        <w:rPr>
          <w:b/>
        </w:rPr>
        <w:t xml:space="preserve">Recommendation: a hybrid - </w:t>
      </w:r>
      <w:r>
        <w:t>adopting Proposal B in full plus the Public Works merger element of Proposal A (Transportation + Sanitation). It nets +$259,111 per year at steady state, addresses 7 of the 8 lagging service processes - including merger synergies on the two worst (Street Resurfacing, 48.3% on-time; Illegal Dumping, 54.2%) - and scores highest on the weighted evaluation (3.60 of 5.00, vs 3.35 for B and 3.20 for A). Year-1 net is -$37,033 due to $192,500 of one-time costs; the recommendation is breakeven within 12 months.</w:t>
      </w:r>
    </w:p>
    <w:p>
      <w:r>
        <w:rPr>
          <w:b w:val="0"/>
          <w:sz w:val="21"/>
        </w:rPr>
        <w:t>Sections 1-2 establish the operational baseline and the NYC benchmark. Sections 3-4 evaluate each proposal. Section 5 presents the recommendation, scoring, and implementation sequencing. Section 6 lists every modeling assumption.</w:t>
      </w:r>
    </w:p>
    <w:p>
      <w:pPr>
        <w:pStyle w:val="Heading1"/>
      </w:pPr>
      <w:r>
        <w:rPr>
          <w:color w:val="1F4E79"/>
        </w:rPr>
        <w:t>1. Situation Assessment: Operational Health of the Five Departments</w:t>
      </w:r>
    </w:p>
    <w:p>
      <w:pPr>
        <w:pStyle w:val="Heading2"/>
      </w:pPr>
      <w:r>
        <w:rPr>
          <w:color w:val="1F4E79"/>
        </w:rPr>
        <w:t>1.1 Staffing</w:t>
      </w:r>
    </w:p>
    <w:p>
      <w:r>
        <w:rPr>
          <w:b w:val="0"/>
          <w:sz w:val="21"/>
        </w:rPr>
        <w:t>Citywide, Greenfield operates 542 filled positions against 596 authorized (9.06% vacancy; payroll $28,389,900). The distribution matters more than the average: Fire Department is effectively fully staffed (3.52% vacancy, five vacancies), while Transportation (20 vacancies, 14.93%) and Health Services (16 vacancies, 16.67%) carry more than two-thirds of all vacant positions between them. Division-level data sharpen the picture: eight divisions exceed a 12% vacancy rate, led by Clinical Services (18.2%), Public Transit (15.8%), and Traffic Engineering (15.4%). Turnover concentrates in the same divisions - Clinical Services (26.1%) and Public Transit (24.6%) turn over roughly a quarter of their workforce annually, against a citywide norm near 11%. Fire divisions, by contrast, turn over at 2.5%-7.1% with 12.6-16.8 years average tenure.</w:t>
      </w:r>
    </w:p>
    <w:p>
      <w:pPr>
        <w:pStyle w:val="Heading2"/>
      </w:pPr>
      <w:r>
        <w:rPr>
          <w:color w:val="1F4E79"/>
        </w:rPr>
        <w:t>1.2 Overtime</w:t>
      </w:r>
    </w:p>
    <w:p>
      <w:r>
        <w:rPr>
          <w:b w:val="0"/>
          <w:sz w:val="21"/>
        </w:rPr>
        <w:t>Departments spent $4,354,518 on overtime in FY2024, 9.59% of regular hours citywide. Three patterns stand out. First, Fire's overtime is chronic: above the 10% threshold in every one of twelve months, 14.57% annually, and its $48/hour overtime rate (1.57x base salary) makes it the city's most expensive OT hour. Second, Sanitation (9.79% annual) and Transportation (8.36%) breach 10% only in winter months - Sanitation for four consecutive months (December-March, $66,359 of OT above the 10% threshold), Transportation for two (December-January, $6,735). Third, overtime per employee correlates with the staffing pattern: Fire's OT is driven by minimum-staffing rules at 97% staffing, while Sanitation's winter breach coincides with route coverage against seasonal volume.</w:t>
      </w:r>
    </w:p>
    <w:p>
      <w:pPr>
        <w:pStyle w:val="Heading2"/>
      </w:pPr>
      <w:r>
        <w:rPr>
          <w:color w:val="1F4E79"/>
        </w:rPr>
        <w:t>1.3 Citizen-facing service delivery</w:t>
      </w:r>
    </w:p>
    <w:p>
      <w:r>
        <w:rPr>
          <w:b w:val="0"/>
          <w:sz w:val="21"/>
        </w:rPr>
        <w:t>The 311 system logged 500 service requests in FY2024; 437 closed. Transportation is the slowest and least satisfactory: 13.62-day average resolution and 3.36/5.00 satisfaction, against Fire's 3.82 days and 4.23/5.00. Process-level data expose the bottlenecks. Eight of the city's 25 tracked processes run below 65% on-time completion: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68"/>
          </w:tcPr>
          <w:p>
            <w:pPr>
              <w:spacing w:after="40"/>
            </w:pPr>
            <w:r/>
            <w:r>
              <w:rPr>
                <w:b/>
                <w:sz w:val="18"/>
              </w:rPr>
              <w:t>Process</w:t>
            </w:r>
          </w:p>
        </w:tc>
        <w:tc>
          <w:tcPr>
            <w:tcW w:type="dxa" w:w="1728"/>
          </w:tcPr>
          <w:p>
            <w:pPr>
              <w:spacing w:after="40"/>
            </w:pPr>
            <w:r/>
            <w:r>
              <w:rPr>
                <w:b/>
                <w:sz w:val="18"/>
              </w:rPr>
              <w:t>Department</w:t>
            </w:r>
          </w:p>
        </w:tc>
        <w:tc>
          <w:tcPr>
            <w:tcW w:type="dxa" w:w="1008"/>
          </w:tcPr>
          <w:p>
            <w:pPr>
              <w:spacing w:after="40"/>
            </w:pPr>
            <w:r/>
            <w:r>
              <w:rPr>
                <w:b/>
                <w:sz w:val="18"/>
              </w:rPr>
              <w:t>On-Time %</w:t>
            </w:r>
          </w:p>
        </w:tc>
        <w:tc>
          <w:tcPr>
            <w:tcW w:type="dxa" w:w="1440"/>
          </w:tcPr>
          <w:p>
            <w:pPr>
              <w:spacing w:after="40"/>
            </w:pPr>
            <w:r/>
            <w:r>
              <w:rPr>
                <w:b/>
                <w:sz w:val="18"/>
              </w:rPr>
              <w:t>Avg Days vs Target</w:t>
            </w:r>
          </w:p>
        </w:tc>
        <w:tc>
          <w:tcPr>
            <w:tcW w:type="dxa" w:w="1008"/>
          </w:tcPr>
          <w:p>
            <w:pPr>
              <w:spacing w:after="40"/>
            </w:pPr>
            <w:r/>
            <w:r>
              <w:rPr>
                <w:b/>
                <w:sz w:val="18"/>
              </w:rPr>
              <w:t>Volume/mo</w:t>
            </w:r>
          </w:p>
        </w:tc>
        <w:tc>
          <w:tcPr>
            <w:tcW w:type="dxa" w:w="1008"/>
          </w:tcPr>
          <w:p>
            <w:pPr>
              <w:spacing w:after="40"/>
            </w:pPr>
            <w:r/>
            <w:r>
              <w:rPr>
                <w:b/>
                <w:sz w:val="18"/>
              </w:rPr>
              <w:t>Error Rate</w:t>
            </w:r>
          </w:p>
        </w:tc>
        <w:tc>
          <w:tcPr>
            <w:tcW w:type="dxa" w:w="1152"/>
          </w:tcPr>
          <w:p>
            <w:pPr>
              <w:spacing w:after="40"/>
            </w:pPr>
            <w:r/>
            <w:r>
              <w:rPr>
                <w:b/>
                <w:sz w:val="18"/>
              </w:rPr>
              <w:t>Automation</w:t>
            </w:r>
          </w:p>
        </w:tc>
      </w:tr>
      <w:tr>
        <w:tc>
          <w:tcPr>
            <w:tcW w:type="dxa" w:w="3168"/>
          </w:tcPr>
          <w:p>
            <w:pPr>
              <w:spacing w:after="40"/>
            </w:pPr>
            <w:r/>
            <w:r>
              <w:rPr>
                <w:b w:val="0"/>
                <w:sz w:val="18"/>
              </w:rPr>
              <w:t>Street Resurfacing Project</w:t>
            </w:r>
          </w:p>
        </w:tc>
        <w:tc>
          <w:tcPr>
            <w:tcW w:type="dxa" w:w="1728"/>
          </w:tcPr>
          <w:p>
            <w:pPr>
              <w:spacing w:after="40"/>
            </w:pPr>
            <w:r/>
            <w:r>
              <w:rPr>
                <w:b w:val="0"/>
                <w:sz w:val="18"/>
              </w:rPr>
              <w:t>Transportation</w:t>
            </w:r>
          </w:p>
        </w:tc>
        <w:tc>
          <w:tcPr>
            <w:tcW w:type="dxa" w:w="1008"/>
          </w:tcPr>
          <w:p>
            <w:pPr>
              <w:spacing w:after="40"/>
            </w:pPr>
            <w:r/>
            <w:r>
              <w:rPr>
                <w:b w:val="0"/>
                <w:sz w:val="18"/>
              </w:rPr>
              <w:t>48.3%</w:t>
            </w:r>
          </w:p>
        </w:tc>
        <w:tc>
          <w:tcPr>
            <w:tcW w:type="dxa" w:w="1440"/>
          </w:tcPr>
          <w:p>
            <w:pPr>
              <w:spacing w:after="40"/>
            </w:pPr>
            <w:r/>
            <w:r>
              <w:rPr>
                <w:b w:val="0"/>
                <w:sz w:val="18"/>
              </w:rPr>
              <w:t>45.2 vs 30</w:t>
            </w:r>
          </w:p>
        </w:tc>
        <w:tc>
          <w:tcPr>
            <w:tcW w:type="dxa" w:w="1008"/>
          </w:tcPr>
          <w:p>
            <w:pPr>
              <w:spacing w:after="40"/>
            </w:pPr>
            <w:r/>
            <w:r>
              <w:rPr>
                <w:b w:val="0"/>
                <w:sz w:val="18"/>
              </w:rPr>
              <w:t>6</w:t>
            </w:r>
          </w:p>
        </w:tc>
        <w:tc>
          <w:tcPr>
            <w:tcW w:type="dxa" w:w="1008"/>
          </w:tcPr>
          <w:p>
            <w:pPr>
              <w:spacing w:after="40"/>
            </w:pPr>
            <w:r/>
            <w:r>
              <w:rPr>
                <w:b w:val="0"/>
                <w:sz w:val="18"/>
              </w:rPr>
              <w:t>7.3%</w:t>
            </w:r>
          </w:p>
        </w:tc>
        <w:tc>
          <w:tcPr>
            <w:tcW w:type="dxa" w:w="1152"/>
          </w:tcPr>
          <w:p>
            <w:pPr>
              <w:spacing w:after="40"/>
            </w:pPr>
            <w:r/>
            <w:r>
              <w:rPr>
                <w:b w:val="0"/>
                <w:sz w:val="18"/>
              </w:rPr>
              <w:t>Manual</w:t>
            </w:r>
          </w:p>
        </w:tc>
      </w:tr>
      <w:tr>
        <w:tc>
          <w:tcPr>
            <w:tcW w:type="dxa" w:w="3168"/>
          </w:tcPr>
          <w:p>
            <w:pPr>
              <w:spacing w:after="40"/>
            </w:pPr>
            <w:r/>
            <w:r>
              <w:rPr>
                <w:b w:val="0"/>
                <w:sz w:val="18"/>
              </w:rPr>
              <w:t>Illegal Dumping Investigation</w:t>
            </w:r>
          </w:p>
        </w:tc>
        <w:tc>
          <w:tcPr>
            <w:tcW w:type="dxa" w:w="1728"/>
          </w:tcPr>
          <w:p>
            <w:pPr>
              <w:spacing w:after="40"/>
            </w:pPr>
            <w:r/>
            <w:r>
              <w:rPr>
                <w:b w:val="0"/>
                <w:sz w:val="18"/>
              </w:rPr>
              <w:t>Sanitation</w:t>
            </w:r>
          </w:p>
        </w:tc>
        <w:tc>
          <w:tcPr>
            <w:tcW w:type="dxa" w:w="1008"/>
          </w:tcPr>
          <w:p>
            <w:pPr>
              <w:spacing w:after="40"/>
            </w:pPr>
            <w:r/>
            <w:r>
              <w:rPr>
                <w:b w:val="0"/>
                <w:sz w:val="18"/>
              </w:rPr>
              <w:t>54.2%</w:t>
            </w:r>
          </w:p>
        </w:tc>
        <w:tc>
          <w:tcPr>
            <w:tcW w:type="dxa" w:w="1440"/>
          </w:tcPr>
          <w:p>
            <w:pPr>
              <w:spacing w:after="40"/>
            </w:pPr>
            <w:r/>
            <w:r>
              <w:rPr>
                <w:b w:val="0"/>
                <w:sz w:val="18"/>
              </w:rPr>
              <w:t>14.7 vs 10</w:t>
            </w:r>
          </w:p>
        </w:tc>
        <w:tc>
          <w:tcPr>
            <w:tcW w:type="dxa" w:w="1008"/>
          </w:tcPr>
          <w:p>
            <w:pPr>
              <w:spacing w:after="40"/>
            </w:pPr>
            <w:r/>
            <w:r>
              <w:rPr>
                <w:b w:val="0"/>
                <w:sz w:val="18"/>
              </w:rPr>
              <w:t>38</w:t>
            </w:r>
          </w:p>
        </w:tc>
        <w:tc>
          <w:tcPr>
            <w:tcW w:type="dxa" w:w="1008"/>
          </w:tcPr>
          <w:p>
            <w:pPr>
              <w:spacing w:after="40"/>
            </w:pPr>
            <w:r/>
            <w:r>
              <w:rPr>
                <w:b w:val="0"/>
                <w:sz w:val="18"/>
              </w:rPr>
              <w:t>11.6%</w:t>
            </w:r>
          </w:p>
        </w:tc>
        <w:tc>
          <w:tcPr>
            <w:tcW w:type="dxa" w:w="1152"/>
          </w:tcPr>
          <w:p>
            <w:pPr>
              <w:spacing w:after="40"/>
            </w:pPr>
            <w:r/>
            <w:r>
              <w:rPr>
                <w:b w:val="0"/>
                <w:sz w:val="18"/>
              </w:rPr>
              <w:t>Manual</w:t>
            </w:r>
          </w:p>
        </w:tc>
      </w:tr>
      <w:tr>
        <w:tc>
          <w:tcPr>
            <w:tcW w:type="dxa" w:w="3168"/>
          </w:tcPr>
          <w:p>
            <w:pPr>
              <w:spacing w:after="40"/>
            </w:pPr>
            <w:r/>
            <w:r>
              <w:rPr>
                <w:b w:val="0"/>
                <w:sz w:val="18"/>
              </w:rPr>
              <w:t>Plan Review (New Construction)</w:t>
            </w:r>
          </w:p>
        </w:tc>
        <w:tc>
          <w:tcPr>
            <w:tcW w:type="dxa" w:w="1728"/>
          </w:tcPr>
          <w:p>
            <w:pPr>
              <w:spacing w:after="40"/>
            </w:pPr>
            <w:r/>
            <w:r>
              <w:rPr>
                <w:b w:val="0"/>
                <w:sz w:val="18"/>
              </w:rPr>
              <w:t>Fire Department</w:t>
            </w:r>
          </w:p>
        </w:tc>
        <w:tc>
          <w:tcPr>
            <w:tcW w:type="dxa" w:w="1008"/>
          </w:tcPr>
          <w:p>
            <w:pPr>
              <w:spacing w:after="40"/>
            </w:pPr>
            <w:r/>
            <w:r>
              <w:rPr>
                <w:b w:val="0"/>
                <w:sz w:val="18"/>
              </w:rPr>
              <w:t>59.6%</w:t>
            </w:r>
          </w:p>
        </w:tc>
        <w:tc>
          <w:tcPr>
            <w:tcW w:type="dxa" w:w="1440"/>
          </w:tcPr>
          <w:p>
            <w:pPr>
              <w:spacing w:after="40"/>
            </w:pPr>
            <w:r/>
            <w:r>
              <w:rPr>
                <w:b w:val="0"/>
                <w:sz w:val="18"/>
              </w:rPr>
              <w:t>14.8 vs 10</w:t>
            </w:r>
          </w:p>
        </w:tc>
        <w:tc>
          <w:tcPr>
            <w:tcW w:type="dxa" w:w="1008"/>
          </w:tcPr>
          <w:p>
            <w:pPr>
              <w:spacing w:after="40"/>
            </w:pPr>
            <w:r/>
            <w:r>
              <w:rPr>
                <w:b w:val="0"/>
                <w:sz w:val="18"/>
              </w:rPr>
              <w:t>24</w:t>
            </w:r>
          </w:p>
        </w:tc>
        <w:tc>
          <w:tcPr>
            <w:tcW w:type="dxa" w:w="1008"/>
          </w:tcPr>
          <w:p>
            <w:pPr>
              <w:spacing w:after="40"/>
            </w:pPr>
            <w:r/>
            <w:r>
              <w:rPr>
                <w:b w:val="0"/>
                <w:sz w:val="18"/>
              </w:rPr>
              <w:t>6.4%</w:t>
            </w:r>
          </w:p>
        </w:tc>
        <w:tc>
          <w:tcPr>
            <w:tcW w:type="dxa" w:w="1152"/>
          </w:tcPr>
          <w:p>
            <w:pPr>
              <w:spacing w:after="40"/>
            </w:pPr>
            <w:r/>
            <w:r>
              <w:rPr>
                <w:b w:val="0"/>
                <w:sz w:val="18"/>
              </w:rPr>
              <w:t>Manual</w:t>
            </w:r>
          </w:p>
        </w:tc>
      </w:tr>
      <w:tr>
        <w:tc>
          <w:tcPr>
            <w:tcW w:type="dxa" w:w="3168"/>
          </w:tcPr>
          <w:p>
            <w:pPr>
              <w:spacing w:after="40"/>
            </w:pPr>
            <w:r/>
            <w:r>
              <w:rPr>
                <w:b w:val="0"/>
                <w:sz w:val="18"/>
              </w:rPr>
              <w:t>Tree Removal Request</w:t>
            </w:r>
          </w:p>
        </w:tc>
        <w:tc>
          <w:tcPr>
            <w:tcW w:type="dxa" w:w="1728"/>
          </w:tcPr>
          <w:p>
            <w:pPr>
              <w:spacing w:after="40"/>
            </w:pPr>
            <w:r/>
            <w:r>
              <w:rPr>
                <w:b w:val="0"/>
                <w:sz w:val="18"/>
              </w:rPr>
              <w:t>Parks &amp; Recreation</w:t>
            </w:r>
          </w:p>
        </w:tc>
        <w:tc>
          <w:tcPr>
            <w:tcW w:type="dxa" w:w="1008"/>
          </w:tcPr>
          <w:p>
            <w:pPr>
              <w:spacing w:after="40"/>
            </w:pPr>
            <w:r/>
            <w:r>
              <w:rPr>
                <w:b w:val="0"/>
                <w:sz w:val="18"/>
              </w:rPr>
              <w:t>62.4%</w:t>
            </w:r>
          </w:p>
        </w:tc>
        <w:tc>
          <w:tcPr>
            <w:tcW w:type="dxa" w:w="1440"/>
          </w:tcPr>
          <w:p>
            <w:pPr>
              <w:spacing w:after="40"/>
            </w:pPr>
            <w:r/>
            <w:r>
              <w:rPr>
                <w:b w:val="0"/>
                <w:sz w:val="18"/>
              </w:rPr>
              <w:t>18.6 vs 14</w:t>
            </w:r>
          </w:p>
        </w:tc>
        <w:tc>
          <w:tcPr>
            <w:tcW w:type="dxa" w:w="1008"/>
          </w:tcPr>
          <w:p>
            <w:pPr>
              <w:spacing w:after="40"/>
            </w:pPr>
            <w:r/>
            <w:r>
              <w:rPr>
                <w:b w:val="0"/>
                <w:sz w:val="18"/>
              </w:rPr>
              <w:t>28</w:t>
            </w:r>
          </w:p>
        </w:tc>
        <w:tc>
          <w:tcPr>
            <w:tcW w:type="dxa" w:w="1008"/>
          </w:tcPr>
          <w:p>
            <w:pPr>
              <w:spacing w:after="40"/>
            </w:pPr>
            <w:r/>
            <w:r>
              <w:rPr>
                <w:b w:val="0"/>
                <w:sz w:val="18"/>
              </w:rPr>
              <w:t>2.5%</w:t>
            </w:r>
          </w:p>
        </w:tc>
        <w:tc>
          <w:tcPr>
            <w:tcW w:type="dxa" w:w="1152"/>
          </w:tcPr>
          <w:p>
            <w:pPr>
              <w:spacing w:after="40"/>
            </w:pPr>
            <w:r/>
            <w:r>
              <w:rPr>
                <w:b w:val="0"/>
                <w:sz w:val="18"/>
              </w:rPr>
              <w:t>Manual</w:t>
            </w:r>
          </w:p>
        </w:tc>
      </w:tr>
      <w:tr>
        <w:tc>
          <w:tcPr>
            <w:tcW w:type="dxa" w:w="3168"/>
          </w:tcPr>
          <w:p>
            <w:pPr>
              <w:spacing w:after="40"/>
            </w:pPr>
            <w:r/>
            <w:r>
              <w:rPr>
                <w:b w:val="0"/>
                <w:sz w:val="18"/>
              </w:rPr>
              <w:t>Environmental Complaint Investigation</w:t>
            </w:r>
          </w:p>
        </w:tc>
        <w:tc>
          <w:tcPr>
            <w:tcW w:type="dxa" w:w="1728"/>
          </w:tcPr>
          <w:p>
            <w:pPr>
              <w:spacing w:after="40"/>
            </w:pPr>
            <w:r/>
            <w:r>
              <w:rPr>
                <w:b w:val="0"/>
                <w:sz w:val="18"/>
              </w:rPr>
              <w:t>Health Services</w:t>
            </w:r>
          </w:p>
        </w:tc>
        <w:tc>
          <w:tcPr>
            <w:tcW w:type="dxa" w:w="1008"/>
          </w:tcPr>
          <w:p>
            <w:pPr>
              <w:spacing w:after="40"/>
            </w:pPr>
            <w:r/>
            <w:r>
              <w:rPr>
                <w:b w:val="0"/>
                <w:sz w:val="18"/>
              </w:rPr>
              <w:t>64.1%</w:t>
            </w:r>
          </w:p>
        </w:tc>
        <w:tc>
          <w:tcPr>
            <w:tcW w:type="dxa" w:w="1440"/>
          </w:tcPr>
          <w:p>
            <w:pPr>
              <w:spacing w:after="40"/>
            </w:pPr>
            <w:r/>
            <w:r>
              <w:rPr>
                <w:b w:val="0"/>
                <w:sz w:val="18"/>
              </w:rPr>
              <w:t>9.8 vs 7</w:t>
            </w:r>
          </w:p>
        </w:tc>
        <w:tc>
          <w:tcPr>
            <w:tcW w:type="dxa" w:w="1008"/>
          </w:tcPr>
          <w:p>
            <w:pPr>
              <w:spacing w:after="40"/>
            </w:pPr>
            <w:r/>
            <w:r>
              <w:rPr>
                <w:b w:val="0"/>
                <w:sz w:val="18"/>
              </w:rPr>
              <w:t>52</w:t>
            </w:r>
          </w:p>
        </w:tc>
        <w:tc>
          <w:tcPr>
            <w:tcW w:type="dxa" w:w="1008"/>
          </w:tcPr>
          <w:p>
            <w:pPr>
              <w:spacing w:after="40"/>
            </w:pPr>
            <w:r/>
            <w:r>
              <w:rPr>
                <w:b w:val="0"/>
                <w:sz w:val="18"/>
              </w:rPr>
              <w:t>7.9%</w:t>
            </w:r>
          </w:p>
        </w:tc>
        <w:tc>
          <w:tcPr>
            <w:tcW w:type="dxa" w:w="1152"/>
          </w:tcPr>
          <w:p>
            <w:pPr>
              <w:spacing w:after="40"/>
            </w:pPr>
            <w:r/>
            <w:r>
              <w:rPr>
                <w:b w:val="0"/>
                <w:sz w:val="18"/>
              </w:rPr>
              <w:t>Manual</w:t>
            </w:r>
          </w:p>
        </w:tc>
      </w:tr>
      <w:tr>
        <w:tc>
          <w:tcPr>
            <w:tcW w:type="dxa" w:w="3168"/>
          </w:tcPr>
          <w:p>
            <w:pPr>
              <w:spacing w:after="40"/>
            </w:pPr>
            <w:r/>
            <w:r>
              <w:rPr>
                <w:b w:val="0"/>
                <w:sz w:val="18"/>
              </w:rPr>
              <w:t>Transit Route Change Request</w:t>
            </w:r>
          </w:p>
        </w:tc>
        <w:tc>
          <w:tcPr>
            <w:tcW w:type="dxa" w:w="1728"/>
          </w:tcPr>
          <w:p>
            <w:pPr>
              <w:spacing w:after="40"/>
            </w:pPr>
            <w:r/>
            <w:r>
              <w:rPr>
                <w:b w:val="0"/>
                <w:sz w:val="18"/>
              </w:rPr>
              <w:t>Transportation</w:t>
            </w:r>
          </w:p>
        </w:tc>
        <w:tc>
          <w:tcPr>
            <w:tcW w:type="dxa" w:w="1008"/>
          </w:tcPr>
          <w:p>
            <w:pPr>
              <w:spacing w:after="40"/>
            </w:pPr>
            <w:r/>
            <w:r>
              <w:rPr>
                <w:b w:val="0"/>
                <w:sz w:val="18"/>
              </w:rPr>
              <w:t>55.1%</w:t>
            </w:r>
          </w:p>
        </w:tc>
        <w:tc>
          <w:tcPr>
            <w:tcW w:type="dxa" w:w="1440"/>
          </w:tcPr>
          <w:p>
            <w:pPr>
              <w:spacing w:after="40"/>
            </w:pPr>
            <w:r/>
            <w:r>
              <w:rPr>
                <w:b w:val="0"/>
                <w:sz w:val="18"/>
              </w:rPr>
              <w:t>22.5 vs 15</w:t>
            </w:r>
          </w:p>
        </w:tc>
        <w:tc>
          <w:tcPr>
            <w:tcW w:type="dxa" w:w="1008"/>
          </w:tcPr>
          <w:p>
            <w:pPr>
              <w:spacing w:after="40"/>
            </w:pPr>
            <w:r/>
            <w:r>
              <w:rPr>
                <w:b w:val="0"/>
                <w:sz w:val="18"/>
              </w:rPr>
              <w:t>12</w:t>
            </w:r>
          </w:p>
        </w:tc>
        <w:tc>
          <w:tcPr>
            <w:tcW w:type="dxa" w:w="1008"/>
          </w:tcPr>
          <w:p>
            <w:pPr>
              <w:spacing w:after="40"/>
            </w:pPr>
            <w:r/>
            <w:r>
              <w:rPr>
                <w:b w:val="0"/>
                <w:sz w:val="18"/>
              </w:rPr>
              <w:t>5.6%</w:t>
            </w:r>
          </w:p>
        </w:tc>
        <w:tc>
          <w:tcPr>
            <w:tcW w:type="dxa" w:w="1152"/>
          </w:tcPr>
          <w:p>
            <w:pPr>
              <w:spacing w:after="40"/>
            </w:pPr>
            <w:r/>
            <w:r>
              <w:rPr>
                <w:b w:val="0"/>
                <w:sz w:val="18"/>
              </w:rPr>
              <w:t>Manual</w:t>
            </w:r>
          </w:p>
        </w:tc>
      </w:tr>
      <w:tr>
        <w:tc>
          <w:tcPr>
            <w:tcW w:type="dxa" w:w="3168"/>
          </w:tcPr>
          <w:p>
            <w:pPr>
              <w:spacing w:after="40"/>
            </w:pPr>
            <w:r/>
            <w:r>
              <w:rPr>
                <w:b w:val="0"/>
                <w:sz w:val="18"/>
              </w:rPr>
              <w:t>Sidewalk Repair Request</w:t>
            </w:r>
          </w:p>
        </w:tc>
        <w:tc>
          <w:tcPr>
            <w:tcW w:type="dxa" w:w="1728"/>
          </w:tcPr>
          <w:p>
            <w:pPr>
              <w:spacing w:after="40"/>
            </w:pPr>
            <w:r/>
            <w:r>
              <w:rPr>
                <w:b w:val="0"/>
                <w:sz w:val="18"/>
              </w:rPr>
              <w:t>Transportation</w:t>
            </w:r>
          </w:p>
        </w:tc>
        <w:tc>
          <w:tcPr>
            <w:tcW w:type="dxa" w:w="1008"/>
          </w:tcPr>
          <w:p>
            <w:pPr>
              <w:spacing w:after="40"/>
            </w:pPr>
            <w:r/>
            <w:r>
              <w:rPr>
                <w:b w:val="0"/>
                <w:sz w:val="18"/>
              </w:rPr>
              <w:t>61.7%</w:t>
            </w:r>
          </w:p>
        </w:tc>
        <w:tc>
          <w:tcPr>
            <w:tcW w:type="dxa" w:w="1440"/>
          </w:tcPr>
          <w:p>
            <w:pPr>
              <w:spacing w:after="40"/>
            </w:pPr>
            <w:r/>
            <w:r>
              <w:rPr>
                <w:b w:val="0"/>
                <w:sz w:val="18"/>
              </w:rPr>
              <w:t>28.4 vs 21</w:t>
            </w:r>
          </w:p>
        </w:tc>
        <w:tc>
          <w:tcPr>
            <w:tcW w:type="dxa" w:w="1008"/>
          </w:tcPr>
          <w:p>
            <w:pPr>
              <w:spacing w:after="40"/>
            </w:pPr>
            <w:r/>
            <w:r>
              <w:rPr>
                <w:b w:val="0"/>
                <w:sz w:val="18"/>
              </w:rPr>
              <w:t>34</w:t>
            </w:r>
          </w:p>
        </w:tc>
        <w:tc>
          <w:tcPr>
            <w:tcW w:type="dxa" w:w="1008"/>
          </w:tcPr>
          <w:p>
            <w:pPr>
              <w:spacing w:after="40"/>
            </w:pPr>
            <w:r/>
            <w:r>
              <w:rPr>
                <w:b w:val="0"/>
                <w:sz w:val="18"/>
              </w:rPr>
              <w:t>3.9%</w:t>
            </w:r>
          </w:p>
        </w:tc>
        <w:tc>
          <w:tcPr>
            <w:tcW w:type="dxa" w:w="1152"/>
          </w:tcPr>
          <w:p>
            <w:pPr>
              <w:spacing w:after="40"/>
            </w:pPr>
            <w:r/>
            <w:r>
              <w:rPr>
                <w:b w:val="0"/>
                <w:sz w:val="18"/>
              </w:rPr>
              <w:t>Manual</w:t>
            </w:r>
          </w:p>
        </w:tc>
      </w:tr>
      <w:tr>
        <w:tc>
          <w:tcPr>
            <w:tcW w:type="dxa" w:w="3168"/>
          </w:tcPr>
          <w:p>
            <w:pPr>
              <w:spacing w:after="40"/>
            </w:pPr>
            <w:r/>
            <w:r>
              <w:rPr>
                <w:b w:val="0"/>
                <w:sz w:val="18"/>
              </w:rPr>
              <w:t>Bulk Pickup Request</w:t>
            </w:r>
          </w:p>
        </w:tc>
        <w:tc>
          <w:tcPr>
            <w:tcW w:type="dxa" w:w="1728"/>
          </w:tcPr>
          <w:p>
            <w:pPr>
              <w:spacing w:after="40"/>
            </w:pPr>
            <w:r/>
            <w:r>
              <w:rPr>
                <w:b w:val="0"/>
                <w:sz w:val="18"/>
              </w:rPr>
              <w:t>Sanitation</w:t>
            </w:r>
          </w:p>
        </w:tc>
        <w:tc>
          <w:tcPr>
            <w:tcW w:type="dxa" w:w="1008"/>
          </w:tcPr>
          <w:p>
            <w:pPr>
              <w:spacing w:after="40"/>
            </w:pPr>
            <w:r/>
            <w:r>
              <w:rPr>
                <w:b w:val="0"/>
                <w:sz w:val="18"/>
              </w:rPr>
              <w:t>58.1%</w:t>
            </w:r>
          </w:p>
        </w:tc>
        <w:tc>
          <w:tcPr>
            <w:tcW w:type="dxa" w:w="1440"/>
          </w:tcPr>
          <w:p>
            <w:pPr>
              <w:spacing w:after="40"/>
            </w:pPr>
            <w:r/>
            <w:r>
              <w:rPr>
                <w:b w:val="0"/>
                <w:sz w:val="18"/>
              </w:rPr>
              <w:t>5.8 vs 3</w:t>
            </w:r>
          </w:p>
        </w:tc>
        <w:tc>
          <w:tcPr>
            <w:tcW w:type="dxa" w:w="1008"/>
          </w:tcPr>
          <w:p>
            <w:pPr>
              <w:spacing w:after="40"/>
            </w:pPr>
            <w:r/>
            <w:r>
              <w:rPr>
                <w:b w:val="0"/>
                <w:sz w:val="18"/>
              </w:rPr>
              <w:t>310</w:t>
            </w:r>
          </w:p>
        </w:tc>
        <w:tc>
          <w:tcPr>
            <w:tcW w:type="dxa" w:w="1008"/>
          </w:tcPr>
          <w:p>
            <w:pPr>
              <w:spacing w:after="40"/>
            </w:pPr>
            <w:r/>
            <w:r>
              <w:rPr>
                <w:b w:val="0"/>
                <w:sz w:val="18"/>
              </w:rPr>
              <w:t>9.4%</w:t>
            </w:r>
          </w:p>
        </w:tc>
        <w:tc>
          <w:tcPr>
            <w:tcW w:type="dxa" w:w="1152"/>
          </w:tcPr>
          <w:p>
            <w:pPr>
              <w:spacing w:after="40"/>
            </w:pPr>
            <w:r/>
            <w:r>
              <w:rPr>
                <w:b w:val="0"/>
                <w:sz w:val="18"/>
              </w:rPr>
              <w:t>Manual</w:t>
            </w:r>
          </w:p>
        </w:tc>
      </w:tr>
    </w:tbl>
    <w:p>
      <w:r>
        <w:rPr>
          <w:b w:val="0"/>
          <w:sz w:val="21"/>
        </w:rPr>
        <w:t>The pattern is consistent: the lagging processes are manual, field-intensive, and concentrated in Transportation (3 of 8), Sanitation (2 of 8), Health (1) and Fire (1); Parks (1). Transportation alone owns the three worst. The citywide table below is reproduced as the Baseline Metrics tab of the attached workbook.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2160"/>
          </w:tcPr>
          <w:p>
            <w:pPr>
              <w:spacing w:after="40"/>
            </w:pPr>
            <w:r/>
            <w:r>
              <w:rPr>
                <w:b/>
                <w:sz w:val="18"/>
              </w:rPr>
              <w:t>Department</w:t>
            </w:r>
          </w:p>
        </w:tc>
        <w:tc>
          <w:tcPr>
            <w:tcW w:type="dxa" w:w="864"/>
          </w:tcPr>
          <w:p>
            <w:pPr>
              <w:spacing w:after="40"/>
            </w:pPr>
            <w:r/>
            <w:r>
              <w:rPr>
                <w:b/>
                <w:sz w:val="18"/>
              </w:rPr>
              <w:t>Vac %</w:t>
            </w:r>
          </w:p>
        </w:tc>
        <w:tc>
          <w:tcPr>
            <w:tcW w:type="dxa" w:w="864"/>
          </w:tcPr>
          <w:p>
            <w:pPr>
              <w:spacing w:after="40"/>
            </w:pPr>
            <w:r/>
            <w:r>
              <w:rPr>
                <w:b/>
                <w:sz w:val="18"/>
              </w:rPr>
              <w:t>OT %</w:t>
            </w:r>
          </w:p>
        </w:tc>
        <w:tc>
          <w:tcPr>
            <w:tcW w:type="dxa" w:w="1008"/>
          </w:tcPr>
          <w:p>
            <w:pPr>
              <w:spacing w:after="40"/>
            </w:pPr>
            <w:r/>
            <w:r>
              <w:rPr>
                <w:b/>
                <w:sz w:val="18"/>
              </w:rPr>
              <w:t>311 Days</w:t>
            </w:r>
          </w:p>
        </w:tc>
        <w:tc>
          <w:tcPr>
            <w:tcW w:type="dxa" w:w="2736"/>
          </w:tcPr>
          <w:p>
            <w:pPr>
              <w:spacing w:after="40"/>
            </w:pPr>
            <w:r/>
            <w:r>
              <w:rPr>
                <w:b/>
                <w:sz w:val="18"/>
              </w:rPr>
              <w:t>Worst On-Time %</w:t>
            </w:r>
          </w:p>
        </w:tc>
        <w:tc>
          <w:tcPr>
            <w:tcW w:type="dxa" w:w="1440"/>
          </w:tcPr>
          <w:p>
            <w:pPr>
              <w:spacing w:after="40"/>
            </w:pPr>
            <w:r/>
            <w:r>
              <w:rPr>
                <w:b/>
                <w:sz w:val="18"/>
              </w:rPr>
              <w:t>Personnel $/Employee</w:t>
            </w:r>
          </w:p>
        </w:tc>
        <w:tc>
          <w:tcPr>
            <w:tcW w:type="dxa" w:w="1152"/>
          </w:tcPr>
          <w:p>
            <w:pPr>
              <w:spacing w:after="40"/>
            </w:pPr>
            <w:r/>
            <w:r>
              <w:rPr>
                <w:b/>
                <w:sz w:val="18"/>
              </w:rPr>
              <w:t>GF / NYC Ratio</w:t>
            </w:r>
          </w:p>
        </w:tc>
      </w:tr>
      <w:tr>
        <w:tc>
          <w:tcPr>
            <w:tcW w:type="dxa" w:w="2160"/>
          </w:tcPr>
          <w:p>
            <w:pPr>
              <w:spacing w:after="40"/>
            </w:pPr>
            <w:r/>
            <w:r>
              <w:rPr>
                <w:b w:val="0"/>
                <w:sz w:val="18"/>
              </w:rPr>
              <w:t>Fire Department</w:t>
            </w:r>
          </w:p>
        </w:tc>
        <w:tc>
          <w:tcPr>
            <w:tcW w:type="dxa" w:w="864"/>
          </w:tcPr>
          <w:p>
            <w:pPr>
              <w:spacing w:after="40"/>
            </w:pPr>
            <w:r/>
            <w:r>
              <w:rPr>
                <w:b w:val="0"/>
                <w:sz w:val="18"/>
              </w:rPr>
              <w:t>3.52%</w:t>
            </w:r>
          </w:p>
        </w:tc>
        <w:tc>
          <w:tcPr>
            <w:tcW w:type="dxa" w:w="864"/>
          </w:tcPr>
          <w:p>
            <w:pPr>
              <w:spacing w:after="40"/>
            </w:pPr>
            <w:r/>
            <w:r>
              <w:rPr>
                <w:b w:val="0"/>
                <w:sz w:val="18"/>
              </w:rPr>
              <w:t>14.57%</w:t>
            </w:r>
          </w:p>
        </w:tc>
        <w:tc>
          <w:tcPr>
            <w:tcW w:type="dxa" w:w="1008"/>
          </w:tcPr>
          <w:p>
            <w:pPr>
              <w:spacing w:after="40"/>
            </w:pPr>
            <w:r/>
            <w:r>
              <w:rPr>
                <w:b w:val="0"/>
                <w:sz w:val="18"/>
              </w:rPr>
              <w:t>3.82</w:t>
            </w:r>
          </w:p>
        </w:tc>
        <w:tc>
          <w:tcPr>
            <w:tcW w:type="dxa" w:w="2736"/>
          </w:tcPr>
          <w:p>
            <w:pPr>
              <w:spacing w:after="40"/>
            </w:pPr>
            <w:r/>
            <w:r>
              <w:rPr>
                <w:b w:val="0"/>
                <w:sz w:val="18"/>
              </w:rPr>
              <w:t>59.6% (Plan Review)</w:t>
            </w:r>
          </w:p>
        </w:tc>
        <w:tc>
          <w:tcPr>
            <w:tcW w:type="dxa" w:w="1440"/>
          </w:tcPr>
          <w:p>
            <w:pPr>
              <w:spacing w:after="40"/>
            </w:pPr>
            <w:r/>
            <w:r>
              <w:rPr>
                <w:b w:val="0"/>
                <w:sz w:val="18"/>
              </w:rPr>
              <w:t>$80,954</w:t>
            </w:r>
          </w:p>
        </w:tc>
        <w:tc>
          <w:tcPr>
            <w:tcW w:type="dxa" w:w="1152"/>
          </w:tcPr>
          <w:p>
            <w:pPr>
              <w:spacing w:after="40"/>
            </w:pPr>
            <w:r/>
            <w:r>
              <w:rPr>
                <w:b w:val="0"/>
                <w:sz w:val="18"/>
              </w:rPr>
              <w:t>0.226</w:t>
            </w:r>
          </w:p>
        </w:tc>
      </w:tr>
      <w:tr>
        <w:tc>
          <w:tcPr>
            <w:tcW w:type="dxa" w:w="2160"/>
          </w:tcPr>
          <w:p>
            <w:pPr>
              <w:spacing w:after="40"/>
            </w:pPr>
            <w:r/>
            <w:r>
              <w:rPr>
                <w:b w:val="0"/>
                <w:sz w:val="18"/>
              </w:rPr>
              <w:t>Health Services</w:t>
            </w:r>
          </w:p>
        </w:tc>
        <w:tc>
          <w:tcPr>
            <w:tcW w:type="dxa" w:w="864"/>
          </w:tcPr>
          <w:p>
            <w:pPr>
              <w:spacing w:after="40"/>
            </w:pPr>
            <w:r/>
            <w:r>
              <w:rPr>
                <w:b w:val="0"/>
                <w:sz w:val="18"/>
              </w:rPr>
              <w:t>16.67%</w:t>
            </w:r>
          </w:p>
        </w:tc>
        <w:tc>
          <w:tcPr>
            <w:tcW w:type="dxa" w:w="864"/>
          </w:tcPr>
          <w:p>
            <w:pPr>
              <w:spacing w:after="40"/>
            </w:pPr>
            <w:r/>
            <w:r>
              <w:rPr>
                <w:b w:val="0"/>
                <w:sz w:val="18"/>
              </w:rPr>
              <w:t>7.13%</w:t>
            </w:r>
          </w:p>
        </w:tc>
        <w:tc>
          <w:tcPr>
            <w:tcW w:type="dxa" w:w="1008"/>
          </w:tcPr>
          <w:p>
            <w:pPr>
              <w:spacing w:after="40"/>
            </w:pPr>
            <w:r/>
            <w:r>
              <w:rPr>
                <w:b w:val="0"/>
                <w:sz w:val="18"/>
              </w:rPr>
              <w:t>12.00</w:t>
            </w:r>
          </w:p>
        </w:tc>
        <w:tc>
          <w:tcPr>
            <w:tcW w:type="dxa" w:w="2736"/>
          </w:tcPr>
          <w:p>
            <w:pPr>
              <w:spacing w:after="40"/>
            </w:pPr>
            <w:r/>
            <w:r>
              <w:rPr>
                <w:b w:val="0"/>
                <w:sz w:val="18"/>
              </w:rPr>
              <w:t>64.1% (Environmental Complaint Investigation)</w:t>
            </w:r>
          </w:p>
        </w:tc>
        <w:tc>
          <w:tcPr>
            <w:tcW w:type="dxa" w:w="1440"/>
          </w:tcPr>
          <w:p>
            <w:pPr>
              <w:spacing w:after="40"/>
            </w:pPr>
            <w:r/>
            <w:r>
              <w:rPr>
                <w:b w:val="0"/>
                <w:sz w:val="18"/>
              </w:rPr>
              <w:t>$67,006</w:t>
            </w:r>
          </w:p>
        </w:tc>
        <w:tc>
          <w:tcPr>
            <w:tcW w:type="dxa" w:w="1152"/>
          </w:tcPr>
          <w:p>
            <w:pPr>
              <w:spacing w:after="40"/>
            </w:pPr>
            <w:r/>
            <w:r>
              <w:rPr>
                <w:b w:val="0"/>
                <w:sz w:val="18"/>
              </w:rPr>
              <w:t>0.202</w:t>
            </w:r>
          </w:p>
        </w:tc>
      </w:tr>
      <w:tr>
        <w:tc>
          <w:tcPr>
            <w:tcW w:type="dxa" w:w="2160"/>
          </w:tcPr>
          <w:p>
            <w:pPr>
              <w:spacing w:after="40"/>
            </w:pPr>
            <w:r/>
            <w:r>
              <w:rPr>
                <w:b w:val="0"/>
                <w:sz w:val="18"/>
              </w:rPr>
              <w:t>Parks &amp; Recreation</w:t>
            </w:r>
          </w:p>
        </w:tc>
        <w:tc>
          <w:tcPr>
            <w:tcW w:type="dxa" w:w="864"/>
          </w:tcPr>
          <w:p>
            <w:pPr>
              <w:spacing w:after="40"/>
            </w:pPr>
            <w:r/>
            <w:r>
              <w:rPr>
                <w:b w:val="0"/>
                <w:sz w:val="18"/>
              </w:rPr>
              <w:t>5.17%</w:t>
            </w:r>
          </w:p>
        </w:tc>
        <w:tc>
          <w:tcPr>
            <w:tcW w:type="dxa" w:w="864"/>
          </w:tcPr>
          <w:p>
            <w:pPr>
              <w:spacing w:after="40"/>
            </w:pPr>
            <w:r/>
            <w:r>
              <w:rPr>
                <w:b w:val="0"/>
                <w:sz w:val="18"/>
              </w:rPr>
              <w:t>6.05%</w:t>
            </w:r>
          </w:p>
        </w:tc>
        <w:tc>
          <w:tcPr>
            <w:tcW w:type="dxa" w:w="1008"/>
          </w:tcPr>
          <w:p>
            <w:pPr>
              <w:spacing w:after="40"/>
            </w:pPr>
            <w:r/>
            <w:r>
              <w:rPr>
                <w:b w:val="0"/>
                <w:sz w:val="18"/>
              </w:rPr>
              <w:t>12.50</w:t>
            </w:r>
          </w:p>
        </w:tc>
        <w:tc>
          <w:tcPr>
            <w:tcW w:type="dxa" w:w="2736"/>
          </w:tcPr>
          <w:p>
            <w:pPr>
              <w:spacing w:after="40"/>
            </w:pPr>
            <w:r/>
            <w:r>
              <w:rPr>
                <w:b w:val="0"/>
                <w:sz w:val="18"/>
              </w:rPr>
              <w:t>62.4% (Tree Removal Request)</w:t>
            </w:r>
          </w:p>
        </w:tc>
        <w:tc>
          <w:tcPr>
            <w:tcW w:type="dxa" w:w="1440"/>
          </w:tcPr>
          <w:p>
            <w:pPr>
              <w:spacing w:after="40"/>
            </w:pPr>
            <w:r/>
            <w:r>
              <w:rPr>
                <w:b w:val="0"/>
                <w:sz w:val="18"/>
              </w:rPr>
              <w:t>$46,977</w:t>
            </w:r>
          </w:p>
        </w:tc>
        <w:tc>
          <w:tcPr>
            <w:tcW w:type="dxa" w:w="1152"/>
          </w:tcPr>
          <w:p>
            <w:pPr>
              <w:spacing w:after="40"/>
            </w:pPr>
            <w:r/>
            <w:r>
              <w:rPr>
                <w:b w:val="0"/>
                <w:sz w:val="18"/>
              </w:rPr>
              <w:t>0.150</w:t>
            </w:r>
          </w:p>
        </w:tc>
      </w:tr>
      <w:tr>
        <w:tc>
          <w:tcPr>
            <w:tcW w:type="dxa" w:w="2160"/>
          </w:tcPr>
          <w:p>
            <w:pPr>
              <w:spacing w:after="40"/>
            </w:pPr>
            <w:r/>
            <w:r>
              <w:rPr>
                <w:b w:val="0"/>
                <w:sz w:val="18"/>
              </w:rPr>
              <w:t>Sanitation</w:t>
            </w:r>
          </w:p>
        </w:tc>
        <w:tc>
          <w:tcPr>
            <w:tcW w:type="dxa" w:w="864"/>
          </w:tcPr>
          <w:p>
            <w:pPr>
              <w:spacing w:after="40"/>
            </w:pPr>
            <w:r/>
            <w:r>
              <w:rPr>
                <w:b w:val="0"/>
                <w:sz w:val="18"/>
              </w:rPr>
              <w:t>6.48%</w:t>
            </w:r>
          </w:p>
        </w:tc>
        <w:tc>
          <w:tcPr>
            <w:tcW w:type="dxa" w:w="864"/>
          </w:tcPr>
          <w:p>
            <w:pPr>
              <w:spacing w:after="40"/>
            </w:pPr>
            <w:r/>
            <w:r>
              <w:rPr>
                <w:b w:val="0"/>
                <w:sz w:val="18"/>
              </w:rPr>
              <w:t>9.79%</w:t>
            </w:r>
          </w:p>
        </w:tc>
        <w:tc>
          <w:tcPr>
            <w:tcW w:type="dxa" w:w="1008"/>
          </w:tcPr>
          <w:p>
            <w:pPr>
              <w:spacing w:after="40"/>
            </w:pPr>
            <w:r/>
            <w:r>
              <w:rPr>
                <w:b w:val="0"/>
                <w:sz w:val="18"/>
              </w:rPr>
              <w:t>9.05</w:t>
            </w:r>
          </w:p>
        </w:tc>
        <w:tc>
          <w:tcPr>
            <w:tcW w:type="dxa" w:w="2736"/>
          </w:tcPr>
          <w:p>
            <w:pPr>
              <w:spacing w:after="40"/>
            </w:pPr>
            <w:r/>
            <w:r>
              <w:rPr>
                <w:b w:val="0"/>
                <w:sz w:val="18"/>
              </w:rPr>
              <w:t>54.2% (Illegal Dumping Investigation)</w:t>
            </w:r>
          </w:p>
        </w:tc>
        <w:tc>
          <w:tcPr>
            <w:tcW w:type="dxa" w:w="1440"/>
          </w:tcPr>
          <w:p>
            <w:pPr>
              <w:spacing w:after="40"/>
            </w:pPr>
            <w:r/>
            <w:r>
              <w:rPr>
                <w:b w:val="0"/>
                <w:sz w:val="18"/>
              </w:rPr>
              <w:t>$48,881</w:t>
            </w:r>
          </w:p>
        </w:tc>
        <w:tc>
          <w:tcPr>
            <w:tcW w:type="dxa" w:w="1152"/>
          </w:tcPr>
          <w:p>
            <w:pPr>
              <w:spacing w:after="40"/>
            </w:pPr>
            <w:r/>
            <w:r>
              <w:rPr>
                <w:b w:val="0"/>
                <w:sz w:val="18"/>
              </w:rPr>
              <w:t>0.150</w:t>
            </w:r>
          </w:p>
        </w:tc>
      </w:tr>
      <w:tr>
        <w:tc>
          <w:tcPr>
            <w:tcW w:type="dxa" w:w="2160"/>
          </w:tcPr>
          <w:p>
            <w:pPr>
              <w:spacing w:after="40"/>
            </w:pPr>
            <w:r/>
            <w:r>
              <w:rPr>
                <w:b w:val="0"/>
                <w:sz w:val="18"/>
              </w:rPr>
              <w:t>Transportation</w:t>
            </w:r>
          </w:p>
        </w:tc>
        <w:tc>
          <w:tcPr>
            <w:tcW w:type="dxa" w:w="864"/>
          </w:tcPr>
          <w:p>
            <w:pPr>
              <w:spacing w:after="40"/>
            </w:pPr>
            <w:r/>
            <w:r>
              <w:rPr>
                <w:b w:val="0"/>
                <w:sz w:val="18"/>
              </w:rPr>
              <w:t>14.93%</w:t>
            </w:r>
          </w:p>
        </w:tc>
        <w:tc>
          <w:tcPr>
            <w:tcW w:type="dxa" w:w="864"/>
          </w:tcPr>
          <w:p>
            <w:pPr>
              <w:spacing w:after="40"/>
            </w:pPr>
            <w:r/>
            <w:r>
              <w:rPr>
                <w:b w:val="0"/>
                <w:sz w:val="18"/>
              </w:rPr>
              <w:t>8.36%</w:t>
            </w:r>
          </w:p>
        </w:tc>
        <w:tc>
          <w:tcPr>
            <w:tcW w:type="dxa" w:w="1008"/>
          </w:tcPr>
          <w:p>
            <w:pPr>
              <w:spacing w:after="40"/>
            </w:pPr>
            <w:r/>
            <w:r>
              <w:rPr>
                <w:b w:val="0"/>
                <w:sz w:val="18"/>
              </w:rPr>
              <w:t>13.62</w:t>
            </w:r>
          </w:p>
        </w:tc>
        <w:tc>
          <w:tcPr>
            <w:tcW w:type="dxa" w:w="2736"/>
          </w:tcPr>
          <w:p>
            <w:pPr>
              <w:spacing w:after="40"/>
            </w:pPr>
            <w:r/>
            <w:r>
              <w:rPr>
                <w:b w:val="0"/>
                <w:sz w:val="18"/>
              </w:rPr>
              <w:t>48.3% (Street Resurfacing Project)</w:t>
            </w:r>
          </w:p>
        </w:tc>
        <w:tc>
          <w:tcPr>
            <w:tcW w:type="dxa" w:w="1440"/>
          </w:tcPr>
          <w:p>
            <w:pPr>
              <w:spacing w:after="40"/>
            </w:pPr>
            <w:r/>
            <w:r>
              <w:rPr>
                <w:b w:val="0"/>
                <w:sz w:val="18"/>
              </w:rPr>
              <w:t>$54,288</w:t>
            </w:r>
          </w:p>
        </w:tc>
        <w:tc>
          <w:tcPr>
            <w:tcW w:type="dxa" w:w="1152"/>
          </w:tcPr>
          <w:p>
            <w:pPr>
              <w:spacing w:after="40"/>
            </w:pPr>
            <w:r/>
            <w:r>
              <w:rPr>
                <w:b w:val="0"/>
                <w:sz w:val="18"/>
              </w:rPr>
              <w:t>0.151</w:t>
            </w:r>
          </w:p>
        </w:tc>
      </w:tr>
      <w:tr>
        <w:tc>
          <w:tcPr>
            <w:tcW w:type="dxa" w:w="2160"/>
          </w:tcPr>
          <w:p>
            <w:pPr>
              <w:spacing w:after="40"/>
            </w:pPr>
            <w:r/>
            <w:r>
              <w:rPr>
                <w:b/>
                <w:sz w:val="18"/>
              </w:rPr>
              <w:t>CITYWIDE</w:t>
            </w:r>
          </w:p>
        </w:tc>
        <w:tc>
          <w:tcPr>
            <w:tcW w:type="dxa" w:w="864"/>
          </w:tcPr>
          <w:p>
            <w:pPr>
              <w:spacing w:after="40"/>
            </w:pPr>
            <w:r/>
            <w:r>
              <w:rPr>
                <w:b/>
                <w:sz w:val="18"/>
              </w:rPr>
              <w:t>9.06%</w:t>
            </w:r>
          </w:p>
        </w:tc>
        <w:tc>
          <w:tcPr>
            <w:tcW w:type="dxa" w:w="864"/>
          </w:tcPr>
          <w:p>
            <w:pPr>
              <w:spacing w:after="40"/>
            </w:pPr>
            <w:r/>
            <w:r>
              <w:rPr>
                <w:b/>
                <w:sz w:val="18"/>
              </w:rPr>
              <w:t>9.59%</w:t>
            </w:r>
          </w:p>
        </w:tc>
        <w:tc>
          <w:tcPr>
            <w:tcW w:type="dxa" w:w="1008"/>
          </w:tcPr>
          <w:p>
            <w:pPr>
              <w:spacing w:after="40"/>
            </w:pPr>
            <w:r/>
            <w:r>
              <w:rPr>
                <w:b/>
                <w:sz w:val="18"/>
              </w:rPr>
              <w:t>-</w:t>
            </w:r>
          </w:p>
        </w:tc>
        <w:tc>
          <w:tcPr>
            <w:tcW w:type="dxa" w:w="2736"/>
          </w:tcPr>
          <w:p>
            <w:pPr>
              <w:spacing w:after="40"/>
            </w:pPr>
            <w:r/>
            <w:r>
              <w:rPr>
                <w:b/>
                <w:sz w:val="18"/>
              </w:rPr>
              <w:t>-</w:t>
            </w:r>
          </w:p>
        </w:tc>
        <w:tc>
          <w:tcPr>
            <w:tcW w:type="dxa" w:w="1440"/>
          </w:tcPr>
          <w:p>
            <w:pPr>
              <w:spacing w:after="40"/>
            </w:pPr>
            <w:r/>
            <w:r>
              <w:rPr>
                <w:b/>
                <w:sz w:val="18"/>
              </w:rPr>
              <w:t>$60,414</w:t>
            </w:r>
          </w:p>
        </w:tc>
        <w:tc>
          <w:tcPr>
            <w:tcW w:type="dxa" w:w="1152"/>
          </w:tcPr>
          <w:p>
            <w:pPr>
              <w:spacing w:after="40"/>
            </w:pPr>
            <w:r/>
            <w:r>
              <w:rPr>
                <w:b/>
                <w:sz w:val="18"/>
              </w:rPr>
              <w:t>-</w:t>
            </w:r>
          </w:p>
        </w:tc>
      </w:tr>
    </w:tbl>
    <w:p>
      <w:r>
        <w:rPr>
          <w:b w:val="0"/>
          <w:sz w:val="21"/>
        </w:rPr>
        <w:t>Staffing and service outcomes cross-reference directly: the two departments with double-digit vacancies deliver the slowest 311 resolution (12.0-13.6 days vs 3.8-9.0 for the rest) and own five of the eight lagging processes. This is the central diagnostic fact for the Council's decision: Greenfield's service problem is primarily a staffing-distribution problem, and any restructuring that does not change where positions are filled will not change service outcomes.</w:t>
      </w:r>
    </w:p>
    <w:p>
      <w:pPr>
        <w:pStyle w:val="Heading1"/>
      </w:pPr>
      <w:r>
        <w:rPr>
          <w:color w:val="1F4E79"/>
        </w:rPr>
        <w:t>2. Benchmark Context: New York City's Post-Pandemic Record</w:t>
      </w:r>
    </w:p>
    <w:p>
      <w:r>
        <w:rPr>
          <w:b w:val="0"/>
          <w:sz w:val="21"/>
        </w:rPr>
        <w:t>The NYS Comptroller's 2024 update on NYC staffing (Report 2-2025) provides the closest available large-system analogue for each of Greenfield's five departments. Four findings bear directly on this decision:</w:t>
      </w:r>
    </w:p>
    <w:p>
      <w:pPr>
        <w:pStyle w:val="ListBullet"/>
      </w:pPr>
      <w:r>
        <w:rPr>
          <w:b/>
        </w:rPr>
        <w:t xml:space="preserve">Vacancies concentrate where service suffers. </w:t>
      </w:r>
      <w:r>
        <w:t>NYC's citywide vacancy rate stood at 5.1% in January 2024 against a 2.0% pre-pandemic norm (peak 8.4% in December 2022). The agencies analogous to Greenfield's strained departments remain elevated: Transportation 10.0% (historical 6.7%), Health 9.3% (8.6%), while Sanitation sits at 0.0% and Fire uniformed at 1.4%. Greenfield's Transportation (14.93%) and Health (16.67%) are materially worse than their NYC analogues.</w:t>
      </w:r>
    </w:p>
    <w:p>
      <w:pPr>
        <w:pStyle w:val="ListBullet"/>
      </w:pPr>
      <w:r>
        <w:rPr>
          <w:b/>
        </w:rPr>
        <w:t xml:space="preserve">Attrition, not just hiring, drives the gap. </w:t>
      </w:r>
      <w:r>
        <w:t>Attrition exceeded the pre-pandemic norm by 80% in FY2022 (48,864 separations against a 27,600 ten-year average) and remained elevated in the agencies Greenfield would most resemble: separations are up 52.0% at FDNY (583 to 886), 33.9% at Transportation (280 to 375), and 30.0% at Parks &amp; Cultural (313 to 407).</w:t>
      </w:r>
    </w:p>
    <w:p>
      <w:pPr>
        <w:pStyle w:val="ListBullet"/>
      </w:pPr>
      <w:r>
        <w:rPr>
          <w:b/>
        </w:rPr>
        <w:t xml:space="preserve">Overtime growth tracks the staffing crisis - except where it is structural. </w:t>
      </w:r>
      <w:r>
        <w:t>Citywide OT grew from $1,113.1M to $1,812.8M, and OT as a share of payroll from 7.0% to 10.8%. Crucially for Proposal B's design, FDNY's Fire Extinguishing &amp; Emergency Response unit - fully staffed at 1.4% uniform vacancy - still saw OT rise from $198.2M to $323.4M and its share of unit overtime from 28.9% to 40.3%: overtime driven by operational structure does not respond to vacancy fixes, and caps applied without capacity produce risk rather than savings.</w:t>
      </w:r>
    </w:p>
    <w:p>
      <w:pPr>
        <w:pStyle w:val="ListBullet"/>
      </w:pPr>
      <w:r>
        <w:rPr>
          <w:b/>
        </w:rPr>
        <w:t xml:space="preserve">Hiring machinery works when resourced. </w:t>
      </w:r>
      <w:r>
        <w:t>DCAS cut exam turnaround from 318 days (FY2021) to 219 days (FY2023), and FDNY raised hiring additions 38.2% (640 to 884) - evidence that centralized, resourced hiring machinery measurably shortens vacancy durations. This is the direct precedent for Proposal B's centralized-hiring intervention.</w:t>
      </w:r>
    </w:p>
    <w:p>
      <w:r>
        <w:rPr>
          <w:b w:val="0"/>
          <w:sz w:val="21"/>
        </w:rPr>
        <w:t>On funding intensity, Greenfield is lean relative to NYC: personnel cost per filled employee ranges from $46,977 (Parks) to $80,954 (Fire), which is 15.0%-22.6% of the corresponding NYC agency's personal-service cost per budgeted position ($312,291-$358,526). Greenfield cannot look to NYC for spending headroom; the benchmark's value is operational - what staffing and overtime dynamics do to service levels - not fiscal.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016"/>
          </w:tcPr>
          <w:p>
            <w:pPr>
              <w:spacing w:after="40"/>
            </w:pPr>
            <w:r/>
            <w:r>
              <w:rPr>
                <w:b/>
                <w:sz w:val="18"/>
              </w:rPr>
              <w:t>Greenfield dept</w:t>
            </w:r>
          </w:p>
        </w:tc>
        <w:tc>
          <w:tcPr>
            <w:tcW w:type="dxa" w:w="1872"/>
          </w:tcPr>
          <w:p>
            <w:pPr>
              <w:spacing w:after="40"/>
            </w:pPr>
            <w:r/>
            <w:r>
              <w:rPr>
                <w:b/>
                <w:sz w:val="18"/>
              </w:rPr>
              <w:t>GF personnel $/employee</w:t>
            </w:r>
          </w:p>
        </w:tc>
        <w:tc>
          <w:tcPr>
            <w:tcW w:type="dxa" w:w="1296"/>
          </w:tcPr>
          <w:p>
            <w:pPr>
              <w:spacing w:after="40"/>
            </w:pPr>
            <w:r/>
            <w:r>
              <w:rPr>
                <w:b/>
                <w:sz w:val="18"/>
              </w:rPr>
              <w:t>NYC analog</w:t>
            </w:r>
          </w:p>
        </w:tc>
        <w:tc>
          <w:tcPr>
            <w:tcW w:type="dxa" w:w="2304"/>
          </w:tcPr>
          <w:p>
            <w:pPr>
              <w:spacing w:after="40"/>
            </w:pPr>
            <w:r/>
            <w:r>
              <w:rPr>
                <w:b/>
                <w:sz w:val="18"/>
              </w:rPr>
              <w:t>NYC PS $/position (FY24 adopted)</w:t>
            </w:r>
          </w:p>
        </w:tc>
        <w:tc>
          <w:tcPr>
            <w:tcW w:type="dxa" w:w="864"/>
          </w:tcPr>
          <w:p>
            <w:pPr>
              <w:spacing w:after="40"/>
            </w:pPr>
            <w:r/>
            <w:r>
              <w:rPr>
                <w:b/>
                <w:sz w:val="18"/>
              </w:rPr>
              <w:t>Ratio</w:t>
            </w:r>
          </w:p>
        </w:tc>
      </w:tr>
      <w:tr>
        <w:tc>
          <w:tcPr>
            <w:tcW w:type="dxa" w:w="2016"/>
          </w:tcPr>
          <w:p>
            <w:pPr>
              <w:spacing w:after="40"/>
            </w:pPr>
            <w:r/>
            <w:r>
              <w:rPr>
                <w:b w:val="0"/>
                <w:sz w:val="18"/>
              </w:rPr>
              <w:t>Fire Department</w:t>
            </w:r>
          </w:p>
        </w:tc>
        <w:tc>
          <w:tcPr>
            <w:tcW w:type="dxa" w:w="1872"/>
          </w:tcPr>
          <w:p>
            <w:pPr>
              <w:spacing w:after="40"/>
            </w:pPr>
            <w:r/>
            <w:r>
              <w:rPr>
                <w:b w:val="0"/>
                <w:sz w:val="18"/>
              </w:rPr>
              <w:t>$80,954</w:t>
            </w:r>
          </w:p>
        </w:tc>
        <w:tc>
          <w:tcPr>
            <w:tcW w:type="dxa" w:w="1296"/>
          </w:tcPr>
          <w:p>
            <w:pPr>
              <w:spacing w:after="40"/>
            </w:pPr>
            <w:r/>
            <w:r>
              <w:rPr>
                <w:b w:val="0"/>
                <w:sz w:val="18"/>
              </w:rPr>
              <w:t>FDNY</w:t>
            </w:r>
          </w:p>
        </w:tc>
        <w:tc>
          <w:tcPr>
            <w:tcW w:type="dxa" w:w="2304"/>
          </w:tcPr>
          <w:p>
            <w:pPr>
              <w:spacing w:after="40"/>
            </w:pPr>
            <w:r/>
            <w:r>
              <w:rPr>
                <w:b w:val="0"/>
                <w:sz w:val="18"/>
              </w:rPr>
              <w:t>$358,026</w:t>
            </w:r>
          </w:p>
        </w:tc>
        <w:tc>
          <w:tcPr>
            <w:tcW w:type="dxa" w:w="864"/>
          </w:tcPr>
          <w:p>
            <w:pPr>
              <w:spacing w:after="40"/>
            </w:pPr>
            <w:r/>
            <w:r>
              <w:rPr>
                <w:b w:val="0"/>
                <w:sz w:val="18"/>
              </w:rPr>
              <w:t>0.226</w:t>
            </w:r>
          </w:p>
        </w:tc>
      </w:tr>
      <w:tr>
        <w:tc>
          <w:tcPr>
            <w:tcW w:type="dxa" w:w="2016"/>
          </w:tcPr>
          <w:p>
            <w:pPr>
              <w:spacing w:after="40"/>
            </w:pPr>
            <w:r/>
            <w:r>
              <w:rPr>
                <w:b w:val="0"/>
                <w:sz w:val="18"/>
              </w:rPr>
              <w:t>Health Services</w:t>
            </w:r>
          </w:p>
        </w:tc>
        <w:tc>
          <w:tcPr>
            <w:tcW w:type="dxa" w:w="1872"/>
          </w:tcPr>
          <w:p>
            <w:pPr>
              <w:spacing w:after="40"/>
            </w:pPr>
            <w:r/>
            <w:r>
              <w:rPr>
                <w:b w:val="0"/>
                <w:sz w:val="18"/>
              </w:rPr>
              <w:t>$67,006</w:t>
            </w:r>
          </w:p>
        </w:tc>
        <w:tc>
          <w:tcPr>
            <w:tcW w:type="dxa" w:w="1296"/>
          </w:tcPr>
          <w:p>
            <w:pPr>
              <w:spacing w:after="40"/>
            </w:pPr>
            <w:r/>
            <w:r>
              <w:rPr>
                <w:b w:val="0"/>
                <w:sz w:val="18"/>
              </w:rPr>
              <w:t>DOHMH</w:t>
            </w:r>
          </w:p>
        </w:tc>
        <w:tc>
          <w:tcPr>
            <w:tcW w:type="dxa" w:w="2304"/>
          </w:tcPr>
          <w:p>
            <w:pPr>
              <w:spacing w:after="40"/>
            </w:pPr>
            <w:r/>
            <w:r>
              <w:rPr>
                <w:b w:val="0"/>
                <w:sz w:val="18"/>
              </w:rPr>
              <w:t>$331,696</w:t>
            </w:r>
          </w:p>
        </w:tc>
        <w:tc>
          <w:tcPr>
            <w:tcW w:type="dxa" w:w="864"/>
          </w:tcPr>
          <w:p>
            <w:pPr>
              <w:spacing w:after="40"/>
            </w:pPr>
            <w:r/>
            <w:r>
              <w:rPr>
                <w:b w:val="0"/>
                <w:sz w:val="18"/>
              </w:rPr>
              <w:t>0.202</w:t>
            </w:r>
          </w:p>
        </w:tc>
      </w:tr>
      <w:tr>
        <w:tc>
          <w:tcPr>
            <w:tcW w:type="dxa" w:w="2016"/>
          </w:tcPr>
          <w:p>
            <w:pPr>
              <w:spacing w:after="40"/>
            </w:pPr>
            <w:r/>
            <w:r>
              <w:rPr>
                <w:b w:val="0"/>
                <w:sz w:val="18"/>
              </w:rPr>
              <w:t>Parks &amp; Recreation</w:t>
            </w:r>
          </w:p>
        </w:tc>
        <w:tc>
          <w:tcPr>
            <w:tcW w:type="dxa" w:w="1872"/>
          </w:tcPr>
          <w:p>
            <w:pPr>
              <w:spacing w:after="40"/>
            </w:pPr>
            <w:r/>
            <w:r>
              <w:rPr>
                <w:b w:val="0"/>
                <w:sz w:val="18"/>
              </w:rPr>
              <w:t>$46,977</w:t>
            </w:r>
          </w:p>
        </w:tc>
        <w:tc>
          <w:tcPr>
            <w:tcW w:type="dxa" w:w="1296"/>
          </w:tcPr>
          <w:p>
            <w:pPr>
              <w:spacing w:after="40"/>
            </w:pPr>
            <w:r/>
            <w:r>
              <w:rPr>
                <w:b w:val="0"/>
                <w:sz w:val="18"/>
              </w:rPr>
              <w:t>DPR</w:t>
            </w:r>
          </w:p>
        </w:tc>
        <w:tc>
          <w:tcPr>
            <w:tcW w:type="dxa" w:w="2304"/>
          </w:tcPr>
          <w:p>
            <w:pPr>
              <w:spacing w:after="40"/>
            </w:pPr>
            <w:r/>
            <w:r>
              <w:rPr>
                <w:b w:val="0"/>
                <w:sz w:val="18"/>
              </w:rPr>
              <w:t>$312,291</w:t>
            </w:r>
          </w:p>
        </w:tc>
        <w:tc>
          <w:tcPr>
            <w:tcW w:type="dxa" w:w="864"/>
          </w:tcPr>
          <w:p>
            <w:pPr>
              <w:spacing w:after="40"/>
            </w:pPr>
            <w:r/>
            <w:r>
              <w:rPr>
                <w:b w:val="0"/>
                <w:sz w:val="18"/>
              </w:rPr>
              <w:t>0.150</w:t>
            </w:r>
          </w:p>
        </w:tc>
      </w:tr>
      <w:tr>
        <w:tc>
          <w:tcPr>
            <w:tcW w:type="dxa" w:w="2016"/>
          </w:tcPr>
          <w:p>
            <w:pPr>
              <w:spacing w:after="40"/>
            </w:pPr>
            <w:r/>
            <w:r>
              <w:rPr>
                <w:b w:val="0"/>
                <w:sz w:val="18"/>
              </w:rPr>
              <w:t>Sanitation</w:t>
            </w:r>
          </w:p>
        </w:tc>
        <w:tc>
          <w:tcPr>
            <w:tcW w:type="dxa" w:w="1872"/>
          </w:tcPr>
          <w:p>
            <w:pPr>
              <w:spacing w:after="40"/>
            </w:pPr>
            <w:r/>
            <w:r>
              <w:rPr>
                <w:b w:val="0"/>
                <w:sz w:val="18"/>
              </w:rPr>
              <w:t>$48,881</w:t>
            </w:r>
          </w:p>
        </w:tc>
        <w:tc>
          <w:tcPr>
            <w:tcW w:type="dxa" w:w="1296"/>
          </w:tcPr>
          <w:p>
            <w:pPr>
              <w:spacing w:after="40"/>
            </w:pPr>
            <w:r/>
            <w:r>
              <w:rPr>
                <w:b w:val="0"/>
                <w:sz w:val="18"/>
              </w:rPr>
              <w:t>DSNY</w:t>
            </w:r>
          </w:p>
        </w:tc>
        <w:tc>
          <w:tcPr>
            <w:tcW w:type="dxa" w:w="2304"/>
          </w:tcPr>
          <w:p>
            <w:pPr>
              <w:spacing w:after="40"/>
            </w:pPr>
            <w:r/>
            <w:r>
              <w:rPr>
                <w:b w:val="0"/>
                <w:sz w:val="18"/>
              </w:rPr>
              <w:t>$325,446</w:t>
            </w:r>
          </w:p>
        </w:tc>
        <w:tc>
          <w:tcPr>
            <w:tcW w:type="dxa" w:w="864"/>
          </w:tcPr>
          <w:p>
            <w:pPr>
              <w:spacing w:after="40"/>
            </w:pPr>
            <w:r/>
            <w:r>
              <w:rPr>
                <w:b w:val="0"/>
                <w:sz w:val="18"/>
              </w:rPr>
              <w:t>0.150</w:t>
            </w:r>
          </w:p>
        </w:tc>
      </w:tr>
      <w:tr>
        <w:tc>
          <w:tcPr>
            <w:tcW w:type="dxa" w:w="2016"/>
          </w:tcPr>
          <w:p>
            <w:pPr>
              <w:spacing w:after="40"/>
            </w:pPr>
            <w:r/>
            <w:r>
              <w:rPr>
                <w:b w:val="0"/>
                <w:sz w:val="18"/>
              </w:rPr>
              <w:t>Transportation</w:t>
            </w:r>
          </w:p>
        </w:tc>
        <w:tc>
          <w:tcPr>
            <w:tcW w:type="dxa" w:w="1872"/>
          </w:tcPr>
          <w:p>
            <w:pPr>
              <w:spacing w:after="40"/>
            </w:pPr>
            <w:r/>
            <w:r>
              <w:rPr>
                <w:b w:val="0"/>
                <w:sz w:val="18"/>
              </w:rPr>
              <w:t>$54,288</w:t>
            </w:r>
          </w:p>
        </w:tc>
        <w:tc>
          <w:tcPr>
            <w:tcW w:type="dxa" w:w="1296"/>
          </w:tcPr>
          <w:p>
            <w:pPr>
              <w:spacing w:after="40"/>
            </w:pPr>
            <w:r/>
            <w:r>
              <w:rPr>
                <w:b w:val="0"/>
                <w:sz w:val="18"/>
              </w:rPr>
              <w:t>DOT</w:t>
            </w:r>
          </w:p>
        </w:tc>
        <w:tc>
          <w:tcPr>
            <w:tcW w:type="dxa" w:w="2304"/>
          </w:tcPr>
          <w:p>
            <w:pPr>
              <w:spacing w:after="40"/>
            </w:pPr>
            <w:r/>
            <w:r>
              <w:rPr>
                <w:b w:val="0"/>
                <w:sz w:val="18"/>
              </w:rPr>
              <w:t>$358,525</w:t>
            </w:r>
          </w:p>
        </w:tc>
        <w:tc>
          <w:tcPr>
            <w:tcW w:type="dxa" w:w="864"/>
          </w:tcPr>
          <w:p>
            <w:pPr>
              <w:spacing w:after="40"/>
            </w:pPr>
            <w:r/>
            <w:r>
              <w:rPr>
                <w:b w:val="0"/>
                <w:sz w:val="18"/>
              </w:rPr>
              <w:t>0.151</w:t>
            </w:r>
          </w:p>
        </w:tc>
      </w:tr>
    </w:tbl>
    <w:p>
      <w:r>
        <w:rPr>
          <w:b w:val="0"/>
          <w:sz w:val="21"/>
        </w:rPr>
        <w:t>NYC's own service record during recovery is a caution against over-promising: even at 5.1% vacancy, FDNY missed its structural-fire response target (4:37 vs 4:14) and its life-threatening EMS response ran 9:32 against a 6:55 target. Greenfield's projections in Section 5 are accordingly modeled as incremental improvements, not full target attainment.</w:t>
      </w:r>
    </w:p>
    <w:p>
      <w:pPr>
        <w:pStyle w:val="Heading1"/>
      </w:pPr>
      <w:r>
        <w:rPr>
          <w:color w:val="1F4E79"/>
        </w:rPr>
        <w:t>3. Evaluation of Proposal A ("Consolidate")</w:t>
      </w:r>
    </w:p>
    <w:p>
      <w:r>
        <w:rPr>
          <w:b w:val="0"/>
          <w:sz w:val="21"/>
        </w:rPr>
        <w:t>Proposal A merges Health Services and Parks &amp; Recreation into a Community Wellness department (212 authorized / 190 filled) and Transportation and Sanitation into Public Works (242 / 215), leaving Fire standalone. The quantified model (workbook, Proposal A Model tab) yields three savings components.</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pPr>
              <w:spacing w:after="40"/>
            </w:pPr>
            <w:r/>
            <w:r>
              <w:rPr>
                <w:b/>
                <w:sz w:val="18"/>
              </w:rPr>
              <w:t>Component</w:t>
            </w:r>
          </w:p>
        </w:tc>
        <w:tc>
          <w:tcPr>
            <w:tcW w:type="dxa" w:w="5184"/>
          </w:tcPr>
          <w:p>
            <w:pPr>
              <w:spacing w:after="40"/>
            </w:pPr>
            <w:r/>
            <w:r>
              <w:rPr>
                <w:b/>
                <w:sz w:val="18"/>
              </w:rPr>
              <w:t>Basis</w:t>
            </w:r>
          </w:p>
        </w:tc>
        <w:tc>
          <w:tcPr>
            <w:tcW w:type="dxa" w:w="1440"/>
          </w:tcPr>
          <w:p>
            <w:pPr>
              <w:spacing w:after="40"/>
            </w:pPr>
            <w:r/>
            <w:r>
              <w:rPr>
                <w:b/>
                <w:sz w:val="18"/>
              </w:rPr>
              <w:t>Annual value</w:t>
            </w:r>
          </w:p>
        </w:tc>
      </w:tr>
      <w:tr>
        <w:tc>
          <w:tcPr>
            <w:tcW w:type="dxa" w:w="2160"/>
          </w:tcPr>
          <w:p>
            <w:pPr>
              <w:spacing w:after="40"/>
            </w:pPr>
            <w:r/>
            <w:r>
              <w:rPr>
                <w:b w:val="0"/>
                <w:sz w:val="18"/>
              </w:rPr>
              <w:t>A1. Administrative consolidation</w:t>
            </w:r>
          </w:p>
        </w:tc>
        <w:tc>
          <w:tcPr>
            <w:tcW w:type="dxa" w:w="5184"/>
          </w:tcPr>
          <w:p>
            <w:pPr>
              <w:spacing w:after="40"/>
            </w:pPr>
            <w:r/>
            <w:r>
              <w:rPr>
                <w:b w:val="0"/>
                <w:sz w:val="18"/>
              </w:rPr>
              <w:t>Absorbed department's administrative layer (assumed 6% of authorized positions; 50% consolidated away; 1.25x salary premium; 25% fringe; attrition-absorbed): 3 positions in each merger</w:t>
            </w:r>
          </w:p>
        </w:tc>
        <w:tc>
          <w:tcPr>
            <w:tcW w:type="dxa" w:w="1440"/>
          </w:tcPr>
          <w:p>
            <w:pPr>
              <w:spacing w:after="40"/>
            </w:pPr>
            <w:r/>
            <w:r>
              <w:rPr>
                <w:b w:val="0"/>
                <w:sz w:val="18"/>
              </w:rPr>
              <w:t>$482,414</w:t>
            </w:r>
          </w:p>
        </w:tc>
      </w:tr>
      <w:tr>
        <w:tc>
          <w:tcPr>
            <w:tcW w:type="dxa" w:w="2160"/>
          </w:tcPr>
          <w:p>
            <w:pPr>
              <w:spacing w:after="40"/>
            </w:pPr>
            <w:r/>
            <w:r>
              <w:rPr>
                <w:b w:val="0"/>
                <w:sz w:val="18"/>
              </w:rPr>
              <w:t>A2. Vacancy abolition</w:t>
            </w:r>
          </w:p>
        </w:tc>
        <w:tc>
          <w:tcPr>
            <w:tcW w:type="dxa" w:w="5184"/>
          </w:tcPr>
          <w:p>
            <w:pPr>
              <w:spacing w:after="40"/>
            </w:pPr>
            <w:r/>
            <w:r>
              <w:rPr>
                <w:b w:val="0"/>
                <w:sz w:val="18"/>
              </w:rPr>
              <w:t>25% of the 49 vacancies in merged departments abolished (12.25 positions at department average salary + fringe)</w:t>
            </w:r>
          </w:p>
        </w:tc>
        <w:tc>
          <w:tcPr>
            <w:tcW w:type="dxa" w:w="1440"/>
          </w:tcPr>
          <w:p>
            <w:pPr>
              <w:spacing w:after="40"/>
            </w:pPr>
            <w:r/>
            <w:r>
              <w:rPr>
                <w:b w:val="0"/>
                <w:sz w:val="18"/>
              </w:rPr>
              <w:t>$779,500</w:t>
            </w:r>
          </w:p>
        </w:tc>
      </w:tr>
      <w:tr>
        <w:tc>
          <w:tcPr>
            <w:tcW w:type="dxa" w:w="2160"/>
          </w:tcPr>
          <w:p>
            <w:pPr>
              <w:spacing w:after="40"/>
            </w:pPr>
            <w:r/>
            <w:r>
              <w:rPr>
                <w:b w:val="0"/>
                <w:sz w:val="18"/>
              </w:rPr>
              <w:t>A3. Shared fleet &amp; field crews</w:t>
            </w:r>
          </w:p>
        </w:tc>
        <w:tc>
          <w:tcPr>
            <w:tcW w:type="dxa" w:w="5184"/>
          </w:tcPr>
          <w:p>
            <w:pPr>
              <w:spacing w:after="40"/>
            </w:pPr>
            <w:r/>
            <w:r>
              <w:rPr>
                <w:b w:val="0"/>
                <w:sz w:val="18"/>
              </w:rPr>
              <w:t>15% reduction of combined Transportation+Sanitation OT ($1,289,856) from a single fleet-maintenance pool and shared crews</w:t>
            </w:r>
          </w:p>
        </w:tc>
        <w:tc>
          <w:tcPr>
            <w:tcW w:type="dxa" w:w="1440"/>
          </w:tcPr>
          <w:p>
            <w:pPr>
              <w:spacing w:after="40"/>
            </w:pPr>
            <w:r/>
            <w:r>
              <w:rPr>
                <w:b w:val="0"/>
                <w:sz w:val="18"/>
              </w:rPr>
              <w:t>$193,478</w:t>
            </w:r>
          </w:p>
        </w:tc>
      </w:tr>
      <w:tr>
        <w:tc>
          <w:tcPr>
            <w:tcW w:type="dxa" w:w="2160"/>
          </w:tcPr>
          <w:p>
            <w:pPr>
              <w:spacing w:after="40"/>
            </w:pPr>
            <w:r/>
            <w:r>
              <w:rPr>
                <w:b w:val="0"/>
                <w:sz w:val="18"/>
              </w:rPr>
              <w:t>Total (steady state)</w:t>
            </w:r>
          </w:p>
        </w:tc>
        <w:tc>
          <w:tcPr>
            <w:tcW w:type="dxa" w:w="5184"/>
          </w:tcPr>
          <w:p>
            <w:pPr>
              <w:spacing w:after="40"/>
            </w:pPr>
            <w:r/>
            <w:r>
              <w:rPr>
                <w:b w:val="0"/>
                <w:sz w:val="18"/>
              </w:rPr>
            </w:r>
          </w:p>
        </w:tc>
        <w:tc>
          <w:tcPr>
            <w:tcW w:type="dxa" w:w="1440"/>
          </w:tcPr>
          <w:p>
            <w:pPr>
              <w:spacing w:after="40"/>
            </w:pPr>
            <w:r/>
            <w:r>
              <w:rPr>
                <w:b w:val="0"/>
                <w:sz w:val="18"/>
              </w:rPr>
              <w:t xml:space="preserve"> $1,455,393</w:t>
            </w:r>
          </w:p>
        </w:tc>
      </w:tr>
      <w:tr>
        <w:tc>
          <w:tcPr>
            <w:tcW w:type="dxa" w:w="2160"/>
          </w:tcPr>
          <w:p>
            <w:pPr>
              <w:spacing w:after="40"/>
            </w:pPr>
            <w:r/>
            <w:r>
              <w:rPr>
                <w:b w:val="0"/>
                <w:sz w:val="18"/>
              </w:rPr>
              <w:t>One-time transition costs</w:t>
            </w:r>
          </w:p>
        </w:tc>
        <w:tc>
          <w:tcPr>
            <w:tcW w:type="dxa" w:w="5184"/>
          </w:tcPr>
          <w:p>
            <w:pPr>
              <w:spacing w:after="40"/>
            </w:pPr>
            <w:r/>
            <w:r>
              <w:rPr>
                <w:b w:val="0"/>
                <w:sz w:val="18"/>
              </w:rPr>
              <w:t>$300 per filled employee x 405</w:t>
            </w:r>
          </w:p>
        </w:tc>
        <w:tc>
          <w:tcPr>
            <w:tcW w:type="dxa" w:w="1440"/>
          </w:tcPr>
          <w:p>
            <w:pPr>
              <w:spacing w:after="40"/>
            </w:pPr>
            <w:r/>
            <w:r>
              <w:rPr>
                <w:b w:val="0"/>
                <w:sz w:val="18"/>
              </w:rPr>
              <w:t>-$121,500</w:t>
            </w:r>
          </w:p>
        </w:tc>
      </w:tr>
      <w:tr>
        <w:tc>
          <w:tcPr>
            <w:tcW w:type="dxa" w:w="2160"/>
          </w:tcPr>
          <w:p>
            <w:pPr>
              <w:spacing w:after="40"/>
            </w:pPr>
            <w:r/>
            <w:r>
              <w:rPr>
                <w:b w:val="0"/>
                <w:sz w:val="18"/>
              </w:rPr>
              <w:t>Net Year 1 (60% realization)</w:t>
            </w:r>
          </w:p>
        </w:tc>
        <w:tc>
          <w:tcPr>
            <w:tcW w:type="dxa" w:w="5184"/>
          </w:tcPr>
          <w:p>
            <w:pPr>
              <w:spacing w:after="40"/>
            </w:pPr>
            <w:r/>
            <w:r>
              <w:rPr>
                <w:b w:val="0"/>
                <w:sz w:val="18"/>
              </w:rPr>
              <w:t>0.60 x steady state - one-time</w:t>
            </w:r>
          </w:p>
        </w:tc>
        <w:tc>
          <w:tcPr>
            <w:tcW w:type="dxa" w:w="1440"/>
          </w:tcPr>
          <w:p>
            <w:pPr>
              <w:spacing w:after="40"/>
            </w:pPr>
            <w:r/>
            <w:r>
              <w:rPr>
                <w:b w:val="0"/>
                <w:sz w:val="18"/>
              </w:rPr>
              <w:t>+$751,736</w:t>
            </w:r>
          </w:p>
        </w:tc>
      </w:tr>
    </w:tbl>
    <w:p>
      <w:pPr>
        <w:pStyle w:val="Heading2"/>
      </w:pPr>
      <w:r>
        <w:rPr>
          <w:color w:val="1F4E79"/>
        </w:rPr>
        <w:t>3.1 Strengths</w:t>
      </w:r>
    </w:p>
    <w:p>
      <w:pPr>
        <w:pStyle w:val="ListBullet"/>
      </w:pPr>
      <w:r>
        <w:t>The Transportation-Sanitation merger is the only pairing with genuine operational synergy in the data: Sanitation operates a 17-mechanic Fleet Maintenance division, both departments run winter field surges in the same months (December-January breaches), and their combined $1.29M OT bill is the largest controllable OT pool in the city. Shared crews and a single fleet pool plausibly recover a meaningful share of coverage overtime.</w:t>
      </w:r>
    </w:p>
    <w:p>
      <w:pPr>
        <w:pStyle w:val="ListBullet"/>
      </w:pPr>
      <w:r>
        <w:t>Administrative duplication is real even though the source data records only operational divisions: two mergers eliminate duplicate executive, HR, payroll and finance layers, modeled conservatively at 3 positions per merger.</w:t>
      </w:r>
    </w:p>
    <w:p>
      <w:pPr>
        <w:pStyle w:val="ListBullet"/>
      </w:pPr>
      <w:r>
        <w:t>The merged Public Works entity would present a unified front on the city's two worst-citizen-experience metrics (3.36 satisfaction, 13.62-day resolution) instead of splitting accountability between two departments that share the same streets.</w:t>
      </w:r>
    </w:p>
    <w:p>
      <w:pPr>
        <w:pStyle w:val="Heading2"/>
      </w:pPr>
      <w:r>
        <w:rPr>
          <w:color w:val="1F4E79"/>
        </w:rPr>
        <w:t>3.2 Weaknesses and risks</w:t>
      </w:r>
    </w:p>
    <w:p>
      <w:pPr>
        <w:pStyle w:val="ListBullet"/>
      </w:pPr>
      <w:r>
        <w:rPr>
          <w:b/>
        </w:rPr>
        <w:t xml:space="preserve">The abolition contradiction. </w:t>
      </w:r>
      <w:r>
        <w:t>A2 savings come from permanent capacity reduction: abolishing 12.25 positions while eight divisions already exceed 12% vacancy works against the diagnostic finding in Section 1. Four abolished positions fall in Health Services - the city's most under-staffed department, whose Clinical Services division runs 18.2% vacancy and 26.1% turnover. The memo flags this as the proposal's central contradiction: it saves money partly by not delivering service the city has already authorized but failed to staff.</w:t>
      </w:r>
    </w:p>
    <w:p>
      <w:pPr>
        <w:pStyle w:val="ListBullet"/>
      </w:pPr>
      <w:r>
        <w:t>The Health+Parks pairing has no operational overlap in the data: no shared fleet, no shared crews, no common processes (Health's five processes are inspection/clinical; Parks' are maintenance/permits). The merger's case rests entirely on the administrative assumption (A1) - the weakest-funded component. It also pairs a department with an 84.8% 311 close rate (Parks, no crisis) into a restructuring it did not need.</w:t>
      </w:r>
    </w:p>
    <w:p>
      <w:pPr>
        <w:pStyle w:val="ListBullet"/>
      </w:pPr>
      <w:r>
        <w:t>Fire is left standalone with its structural overtime untouched: 14.57% OT ratio, breaches in all 12 months, $2.09M - 48.2% of it relative to Fire's own regular-hours cost base. A restructuring that leaves the city's largest OT line item unaddressed forgoes roughly $326,832 of modeled recoverable spend (see Section 4).</w:t>
      </w:r>
    </w:p>
    <w:p>
      <w:pPr>
        <w:pStyle w:val="ListBullet"/>
      </w:pPr>
      <w:r>
        <w:t>Mergers executed during a staffing crisis carry transition risk that NYC's record makes concrete: agencies simultaneously managing elevated attrition and reorganization lose institutional knowledge precisely when vacancy coverage is thinnest. Year-1 realization is therefore modeled at 60%, and the risk rating is 4/5.</w:t>
      </w:r>
    </w:p>
    <w:p>
      <w:r>
        <w:rPr>
          <w:b w:val="0"/>
          <w:sz w:val="21"/>
        </w:rPr>
        <w:t>Verdict: Proposal A's savings are real but concentrated where its premise is strongest (Public Works) and weakest (Community Wellness); it fills no vacancies; and it does not touch the one department whose cost structure is most out of line.</w:t>
      </w:r>
    </w:p>
    <w:p>
      <w:pPr>
        <w:pStyle w:val="Heading1"/>
      </w:pPr>
      <w:r>
        <w:rPr>
          <w:color w:val="1F4E79"/>
        </w:rPr>
        <w:t>4. Evaluation of Proposal B ("Targeted Fix")</w:t>
      </w:r>
    </w:p>
    <w:p>
      <w:r>
        <w:rPr>
          <w:b w:val="0"/>
          <w:sz w:val="21"/>
        </w:rPr>
        <w:t>Proposal B retains all five departments and intervenes only where data triggers fire. Two of the three triggers activate: eight divisions exceed 12% vacancy (230 authorized positions, 36 vacancies), and Fire exceeds the 10% overtime threshold annually (14.57%). Sanitation and Transportation breach 10% only seasonally, which the design captures through cross-training pools rather than a budget cap.</w:t>
      </w:r>
    </w:p>
    <w:p>
      <w:pPr>
        <w:pStyle w:val="Heading2"/>
      </w:pPr>
      <w:r>
        <w:rPr>
          <w:color w:val="1F4E79"/>
        </w:rPr>
        <w:t>4.1 Centralized hiring (12 hires)</w:t>
      </w:r>
    </w:p>
    <w:p>
      <w:r>
        <w:rPr>
          <w:b w:val="0"/>
          <w:sz w:val="21"/>
        </w:rPr>
        <w:t>Sizing hires per division to reach a 12% vacancy ceiling requires 12 appointments: Clinical Services (3), Road Maintenance (2), Public Transit (2), and one each in Traffic Engineering, Planning &amp; Design, Environmental Health, Community Outreach, and Epidemiology &amp; Data. Salary add-back with 25% fringe is $831,000; recruiting and onboarding at $8,000 per hire is a $96,000 one-time cost. Filled positions displace vacancy-driven overtime at a modeled 30% of the add-back ($249,300), grounded in the Comptroller's documented linkage between vacancy growth and OT growth. Net annual cost: $581,700.</w:t>
      </w:r>
    </w:p>
    <w:p>
      <w:pPr>
        <w:pStyle w:val="Heading2"/>
      </w:pPr>
      <w:r>
        <w:rPr>
          <w:color w:val="1F4E79"/>
        </w:rPr>
        <w:t>4.2 Cross-training pools (16 FTE)</w:t>
      </w:r>
    </w:p>
    <w:p>
      <w:r>
        <w:rPr>
          <w:b w:val="0"/>
          <w:sz w:val="21"/>
        </w:rPr>
        <w:t>Pools sized at 15% of filled positions in donor divisions: nine Transportation staff (Public Transit and Traffic Engineering) trained for Road Maintenance winter duties, four Sanitation Recycling Operations staff for Refuse Collection surge, and three Community Outreach staff for Clinical intake support. Cost $32,000 one-time ($2,000 per trainee). Quantified benefit: 40% recovery of the $73,093 seasonal excess overtime (2,140.6 Sanitation hours above threshold Dec-Mar plus 193.8 Transportation hours Dec-Jan), worth $29,237 per year; the Health pool's benefit is qualitative relief for the city's highest-turnover division.</w:t>
      </w:r>
    </w:p>
    <w:p>
      <w:pPr>
        <w:pStyle w:val="Heading2"/>
      </w:pPr>
      <w:r>
        <w:rPr>
          <w:color w:val="1F4E79"/>
        </w:rPr>
        <w:t>4.3 Fire overtime cap</w:t>
      </w:r>
    </w:p>
    <w:p>
      <w:r>
        <w:rPr>
          <w:b w:val="0"/>
          <w:sz w:val="21"/>
        </w:rPr>
        <w:t>Capping Fire at 10% of regular hours (29,826 of 43,444 OT hours) is theoretically worth $653,664 at $48/hour. Only half is modeled as recoverable: Fire is 97% staffed and its overtime is structural (24/7 minimum staffing), exactly the pattern the Comptroller documents at FDNY, where a 1.4% uniform vacancy rate coexisted with OT rising to 40.3% of unit overtime. An unqualified cap would convert directly into service risk against FDNY-benchmarked response standards. Modeled saving: $326,832 per year.</w:t>
      </w:r>
    </w:p>
    <w:p>
      <w:pPr>
        <w:pStyle w:val="Heading2"/>
      </w:pPr>
      <w:r>
        <w:rPr>
          <w:color w:val="1F4E79"/>
        </w:rPr>
        <w:t>4.4 Totals and assessment</w:t>
      </w:r>
    </w:p>
    <w:tbl>
      <w:tblPr>
        <w:tblStyle w:val="TableGrid"/>
        <w:tblW w:type="auto" w:w="0"/>
        <w:jc w:val="center"/>
        <w:tblLook w:firstColumn="1" w:firstRow="1" w:lastColumn="0" w:lastRow="0" w:noHBand="0" w:noVBand="1" w:val="04A0"/>
      </w:tblPr>
      <w:tblGrid>
        <w:gridCol w:w="3216"/>
        <w:gridCol w:w="3216"/>
        <w:gridCol w:w="3216"/>
      </w:tblGrid>
      <w:tr>
        <w:tc>
          <w:tcPr>
            <w:tcW w:type="dxa" w:w="4896"/>
          </w:tcPr>
          <w:p>
            <w:pPr>
              <w:spacing w:after="40"/>
            </w:pPr>
            <w:r/>
            <w:r>
              <w:rPr>
                <w:b/>
                <w:sz w:val="18"/>
              </w:rPr>
              <w:t>Component</w:t>
            </w:r>
          </w:p>
        </w:tc>
        <w:tc>
          <w:tcPr>
            <w:tcW w:type="dxa" w:w="1728"/>
          </w:tcPr>
          <w:p>
            <w:pPr>
              <w:spacing w:after="40"/>
            </w:pPr>
            <w:r/>
            <w:r>
              <w:rPr>
                <w:b/>
                <w:sz w:val="18"/>
              </w:rPr>
              <w:t>Annual</w:t>
            </w:r>
          </w:p>
        </w:tc>
        <w:tc>
          <w:tcPr>
            <w:tcW w:type="dxa" w:w="1440"/>
          </w:tcPr>
          <w:p>
            <w:pPr>
              <w:spacing w:after="40"/>
            </w:pPr>
            <w:r/>
            <w:r>
              <w:rPr>
                <w:b/>
                <w:sz w:val="18"/>
              </w:rPr>
              <w:t>One-time</w:t>
            </w:r>
          </w:p>
        </w:tc>
      </w:tr>
      <w:tr>
        <w:tc>
          <w:tcPr>
            <w:tcW w:type="dxa" w:w="4896"/>
          </w:tcPr>
          <w:p>
            <w:pPr>
              <w:spacing w:after="40"/>
            </w:pPr>
            <w:r/>
            <w:r>
              <w:rPr>
                <w:b w:val="0"/>
                <w:sz w:val="18"/>
              </w:rPr>
              <w:t>Fire OT cap (50% achievability)</w:t>
            </w:r>
          </w:p>
        </w:tc>
        <w:tc>
          <w:tcPr>
            <w:tcW w:type="dxa" w:w="1728"/>
          </w:tcPr>
          <w:p>
            <w:pPr>
              <w:spacing w:after="40"/>
            </w:pPr>
            <w:r/>
            <w:r>
              <w:rPr>
                <w:b w:val="0"/>
                <w:sz w:val="18"/>
              </w:rPr>
              <w:t>+$326,832</w:t>
            </w:r>
          </w:p>
        </w:tc>
        <w:tc>
          <w:tcPr>
            <w:tcW w:type="dxa" w:w="1440"/>
          </w:tcPr>
          <w:p>
            <w:pPr>
              <w:spacing w:after="40"/>
            </w:pPr>
            <w:r/>
            <w:r>
              <w:rPr>
                <w:b w:val="0"/>
                <w:sz w:val="18"/>
              </w:rPr>
              <w:t>-</w:t>
            </w:r>
          </w:p>
        </w:tc>
      </w:tr>
      <w:tr>
        <w:tc>
          <w:tcPr>
            <w:tcW w:type="dxa" w:w="4896"/>
          </w:tcPr>
          <w:p>
            <w:pPr>
              <w:spacing w:after="40"/>
            </w:pPr>
            <w:r/>
            <w:r>
              <w:rPr>
                <w:b w:val="0"/>
                <w:sz w:val="18"/>
              </w:rPr>
              <w:t>Seasonal OT recovery (cross-training)</w:t>
            </w:r>
          </w:p>
        </w:tc>
        <w:tc>
          <w:tcPr>
            <w:tcW w:type="dxa" w:w="1728"/>
          </w:tcPr>
          <w:p>
            <w:pPr>
              <w:spacing w:after="40"/>
            </w:pPr>
            <w:r/>
            <w:r>
              <w:rPr>
                <w:b w:val="0"/>
                <w:sz w:val="18"/>
              </w:rPr>
              <w:t>+$29,237</w:t>
            </w:r>
          </w:p>
        </w:tc>
        <w:tc>
          <w:tcPr>
            <w:tcW w:type="dxa" w:w="1440"/>
          </w:tcPr>
          <w:p>
            <w:pPr>
              <w:spacing w:after="40"/>
            </w:pPr>
            <w:r/>
            <w:r>
              <w:rPr>
                <w:b w:val="0"/>
                <w:sz w:val="18"/>
              </w:rPr>
              <w:t>-$32,000</w:t>
            </w:r>
          </w:p>
        </w:tc>
      </w:tr>
      <w:tr>
        <w:tc>
          <w:tcPr>
            <w:tcW w:type="dxa" w:w="4896"/>
          </w:tcPr>
          <w:p>
            <w:pPr>
              <w:spacing w:after="40"/>
            </w:pPr>
            <w:r/>
            <w:r>
              <w:rPr>
                <w:b w:val="0"/>
                <w:sz w:val="18"/>
              </w:rPr>
              <w:t>Centralized hiring (12 hires), net of OT offset</w:t>
            </w:r>
          </w:p>
        </w:tc>
        <w:tc>
          <w:tcPr>
            <w:tcW w:type="dxa" w:w="1728"/>
          </w:tcPr>
          <w:p>
            <w:pPr>
              <w:spacing w:after="40"/>
            </w:pPr>
            <w:r/>
            <w:r>
              <w:rPr>
                <w:b w:val="0"/>
                <w:sz w:val="18"/>
              </w:rPr>
              <w:t>-$581,700</w:t>
            </w:r>
          </w:p>
        </w:tc>
        <w:tc>
          <w:tcPr>
            <w:tcW w:type="dxa" w:w="1440"/>
          </w:tcPr>
          <w:p>
            <w:pPr>
              <w:spacing w:after="40"/>
            </w:pPr>
            <w:r/>
            <w:r>
              <w:rPr>
                <w:b w:val="0"/>
                <w:sz w:val="18"/>
              </w:rPr>
              <w:t>-$96,000</w:t>
            </w:r>
          </w:p>
        </w:tc>
      </w:tr>
      <w:tr>
        <w:tc>
          <w:tcPr>
            <w:tcW w:type="dxa" w:w="4896"/>
          </w:tcPr>
          <w:p>
            <w:pPr>
              <w:spacing w:after="40"/>
            </w:pPr>
            <w:r/>
            <w:r>
              <w:rPr>
                <w:b/>
                <w:sz w:val="18"/>
              </w:rPr>
              <w:t>Net position</w:t>
            </w:r>
          </w:p>
        </w:tc>
        <w:tc>
          <w:tcPr>
            <w:tcW w:type="dxa" w:w="1728"/>
          </w:tcPr>
          <w:p>
            <w:pPr>
              <w:spacing w:after="40"/>
            </w:pPr>
            <w:r/>
            <w:r>
              <w:rPr>
                <w:b/>
                <w:sz w:val="18"/>
              </w:rPr>
              <w:t>-$225,631</w:t>
            </w:r>
          </w:p>
        </w:tc>
        <w:tc>
          <w:tcPr>
            <w:tcW w:type="dxa" w:w="1440"/>
          </w:tcPr>
          <w:p>
            <w:pPr>
              <w:spacing w:after="40"/>
            </w:pPr>
            <w:r/>
            <w:r>
              <w:rPr>
                <w:b/>
                <w:sz w:val="18"/>
              </w:rPr>
              <w:t>-$128,000</w:t>
            </w:r>
          </w:p>
        </w:tc>
      </w:tr>
    </w:tbl>
    <w:p>
      <w:pPr>
        <w:pStyle w:val="ListBullet"/>
      </w:pPr>
      <w:r>
        <w:rPr>
          <w:b/>
        </w:rPr>
        <w:t xml:space="preserve">Strengths: </w:t>
      </w:r>
      <w:r>
        <w:t>It is the only proposal that changes the staffing facts the diagnosis identified: all 12 hires land in divisions that both trigger the vacancy rule and own lagging service processes (Transportation 4, Health 4).</w:t>
      </w:r>
    </w:p>
    <w:p>
      <w:pPr>
        <w:pStyle w:val="ListBullet"/>
      </w:pPr>
      <w:r>
        <w:t>Low disruption (complexity 2/5, risk 1-2/5); fully consistent with the NYC precedent that resourced centralized hiring and exam acceleration shorten vacancy durations.</w:t>
      </w:r>
    </w:p>
    <w:p>
      <w:pPr>
        <w:pStyle w:val="ListBullet"/>
      </w:pPr>
      <w:r>
        <w:rPr>
          <w:b/>
        </w:rPr>
        <w:t xml:space="preserve">Weaknesses: </w:t>
      </w:r>
      <w:r>
        <w:t>It is a net cash cost in every year, because it buys capacity instead of cutting it. It leaves administrative duplication untouched, does not address Parks' Tree Removal process (62.4% on-time - the one lagging process no trigger covers), and its Fire cap is half-symbolic against structural overtime.</w:t>
      </w:r>
    </w:p>
    <w:p>
      <w:r>
        <w:rPr>
          <w:b w:val="0"/>
          <w:sz w:val="21"/>
        </w:rPr>
        <w:t>Verdict: the right medicine with an awkward bill. Proposal B buys the service restoration the data says the city needs, but on its own it asks Council to spend roughly $226,000 more per year for it.</w:t>
      </w:r>
    </w:p>
    <w:p>
      <w:pPr>
        <w:pStyle w:val="Heading1"/>
      </w:pPr>
      <w:r>
        <w:rPr>
          <w:color w:val="1F4E79"/>
        </w:rPr>
        <w:t>5. Recommendation: Hybrid Approach (Proposal B + Public Works Merger)</w:t>
      </w:r>
    </w:p>
    <w:p>
      <w:r>
        <w:rPr>
          <w:b w:val="0"/>
          <w:sz w:val="21"/>
        </w:rPr>
        <w:t>The evidence supports neither proposal in its pure form. The recommended package adopts Proposal B in full - centralized hiring (12 hires, $831,000 add-back offset by $249,300 OT displacement), cross-training pools (16 FTE), and the Fire OT cap ($326,832) - and adds the one element of Proposal A the data supports: the Transportation+Sanitation merger into Public Works, with vacancy abolition restricted to non-triggered divisions (7 non-triggered vacancies in Sanitation; 1.75 positions abolished, $92,156) so that abolition never works against hiring targets. The Health+Parks merger is not recommended.</w:t>
      </w:r>
    </w:p>
    <w:tbl>
      <w:tblPr>
        <w:tblStyle w:val="TableGrid"/>
        <w:tblW w:type="auto" w:w="0"/>
        <w:jc w:val="center"/>
        <w:tblLook w:firstColumn="1" w:firstRow="1" w:lastColumn="0" w:lastRow="0" w:noHBand="0" w:noVBand="1" w:val="04A0"/>
      </w:tblPr>
      <w:tblGrid>
        <w:gridCol w:w="4824"/>
        <w:gridCol w:w="4824"/>
      </w:tblGrid>
      <w:tr>
        <w:tc>
          <w:tcPr>
            <w:tcW w:type="dxa" w:w="6624"/>
          </w:tcPr>
          <w:p>
            <w:pPr>
              <w:spacing w:after="40"/>
            </w:pPr>
            <w:r/>
            <w:r>
              <w:rPr>
                <w:b/>
                <w:sz w:val="18"/>
              </w:rPr>
              <w:t>Component</w:t>
            </w:r>
          </w:p>
        </w:tc>
        <w:tc>
          <w:tcPr>
            <w:tcW w:type="dxa" w:w="1728"/>
          </w:tcPr>
          <w:p>
            <w:pPr>
              <w:spacing w:after="40"/>
            </w:pPr>
            <w:r/>
            <w:r>
              <w:rPr>
                <w:b/>
                <w:sz w:val="18"/>
              </w:rPr>
              <w:t>Annual (steady state)</w:t>
            </w:r>
          </w:p>
        </w:tc>
      </w:tr>
      <w:tr>
        <w:tc>
          <w:tcPr>
            <w:tcW w:type="dxa" w:w="6624"/>
          </w:tcPr>
          <w:p>
            <w:pPr>
              <w:spacing w:after="40"/>
            </w:pPr>
            <w:r/>
            <w:r>
              <w:rPr>
                <w:b w:val="0"/>
                <w:sz w:val="18"/>
              </w:rPr>
              <w:t>Administrative consolidation - Sanitation layer absorbed into Public Works</w:t>
            </w:r>
          </w:p>
        </w:tc>
        <w:tc>
          <w:tcPr>
            <w:tcW w:type="dxa" w:w="1728"/>
          </w:tcPr>
          <w:p>
            <w:pPr>
              <w:spacing w:after="40"/>
            </w:pPr>
            <w:r/>
            <w:r>
              <w:rPr>
                <w:b w:val="0"/>
                <w:sz w:val="18"/>
              </w:rPr>
              <w:t>+$199,107</w:t>
            </w:r>
          </w:p>
        </w:tc>
      </w:tr>
      <w:tr>
        <w:tc>
          <w:tcPr>
            <w:tcW w:type="dxa" w:w="6624"/>
          </w:tcPr>
          <w:p>
            <w:pPr>
              <w:spacing w:after="40"/>
            </w:pPr>
            <w:r/>
            <w:r>
              <w:rPr>
                <w:b w:val="0"/>
                <w:sz w:val="18"/>
              </w:rPr>
              <w:t>Vacancy abolition - non-triggered divisions only (1.75 positions)</w:t>
            </w:r>
          </w:p>
        </w:tc>
        <w:tc>
          <w:tcPr>
            <w:tcW w:type="dxa" w:w="1728"/>
          </w:tcPr>
          <w:p>
            <w:pPr>
              <w:spacing w:after="40"/>
            </w:pPr>
            <w:r/>
            <w:r>
              <w:rPr>
                <w:b w:val="0"/>
                <w:sz w:val="18"/>
              </w:rPr>
              <w:t>+$92,156</w:t>
            </w:r>
          </w:p>
        </w:tc>
      </w:tr>
      <w:tr>
        <w:tc>
          <w:tcPr>
            <w:tcW w:type="dxa" w:w="6624"/>
          </w:tcPr>
          <w:p>
            <w:pPr>
              <w:spacing w:after="40"/>
            </w:pPr>
            <w:r/>
            <w:r>
              <w:rPr>
                <w:b w:val="0"/>
                <w:sz w:val="18"/>
              </w:rPr>
              <w:t>Shared fleet &amp; field crews (Public Works)</w:t>
            </w:r>
          </w:p>
        </w:tc>
        <w:tc>
          <w:tcPr>
            <w:tcW w:type="dxa" w:w="1728"/>
          </w:tcPr>
          <w:p>
            <w:pPr>
              <w:spacing w:after="40"/>
            </w:pPr>
            <w:r/>
            <w:r>
              <w:rPr>
                <w:b w:val="0"/>
                <w:sz w:val="18"/>
              </w:rPr>
              <w:t>+$193,478</w:t>
            </w:r>
          </w:p>
        </w:tc>
      </w:tr>
      <w:tr>
        <w:tc>
          <w:tcPr>
            <w:tcW w:type="dxa" w:w="6624"/>
          </w:tcPr>
          <w:p>
            <w:pPr>
              <w:spacing w:after="40"/>
            </w:pPr>
            <w:r/>
            <w:r>
              <w:rPr>
                <w:b w:val="0"/>
                <w:sz w:val="18"/>
              </w:rPr>
              <w:t>Fire OT cap (50% achievability)</w:t>
            </w:r>
          </w:p>
        </w:tc>
        <w:tc>
          <w:tcPr>
            <w:tcW w:type="dxa" w:w="1728"/>
          </w:tcPr>
          <w:p>
            <w:pPr>
              <w:spacing w:after="40"/>
            </w:pPr>
            <w:r/>
            <w:r>
              <w:rPr>
                <w:b w:val="0"/>
                <w:sz w:val="18"/>
              </w:rPr>
              <w:t>+$326,832</w:t>
            </w:r>
          </w:p>
        </w:tc>
      </w:tr>
      <w:tr>
        <w:tc>
          <w:tcPr>
            <w:tcW w:type="dxa" w:w="6624"/>
          </w:tcPr>
          <w:p>
            <w:pPr>
              <w:spacing w:after="40"/>
            </w:pPr>
            <w:r/>
            <w:r>
              <w:rPr>
                <w:b w:val="0"/>
                <w:sz w:val="18"/>
              </w:rPr>
              <w:t>Seasonal OT recovery (cross-training)</w:t>
            </w:r>
          </w:p>
        </w:tc>
        <w:tc>
          <w:tcPr>
            <w:tcW w:type="dxa" w:w="1728"/>
          </w:tcPr>
          <w:p>
            <w:pPr>
              <w:spacing w:after="40"/>
            </w:pPr>
            <w:r/>
            <w:r>
              <w:rPr>
                <w:b w:val="0"/>
                <w:sz w:val="18"/>
              </w:rPr>
              <w:t>+$29,237</w:t>
            </w:r>
          </w:p>
        </w:tc>
      </w:tr>
      <w:tr>
        <w:tc>
          <w:tcPr>
            <w:tcW w:type="dxa" w:w="6624"/>
          </w:tcPr>
          <w:p>
            <w:pPr>
              <w:spacing w:after="40"/>
            </w:pPr>
            <w:r/>
            <w:r>
              <w:rPr>
                <w:b w:val="0"/>
                <w:sz w:val="18"/>
              </w:rPr>
              <w:t>Centralized hiring, net of OT offset</w:t>
            </w:r>
          </w:p>
        </w:tc>
        <w:tc>
          <w:tcPr>
            <w:tcW w:type="dxa" w:w="1728"/>
          </w:tcPr>
          <w:p>
            <w:pPr>
              <w:spacing w:after="40"/>
            </w:pPr>
            <w:r/>
            <w:r>
              <w:rPr>
                <w:b w:val="0"/>
                <w:sz w:val="18"/>
              </w:rPr>
              <w:t>-$581,700</w:t>
            </w:r>
          </w:p>
        </w:tc>
      </w:tr>
      <w:tr>
        <w:tc>
          <w:tcPr>
            <w:tcW w:type="dxa" w:w="6624"/>
          </w:tcPr>
          <w:p>
            <w:pPr>
              <w:spacing w:after="40"/>
            </w:pPr>
            <w:r/>
            <w:r>
              <w:rPr>
                <w:b w:val="0"/>
                <w:sz w:val="18"/>
              </w:rPr>
              <w:t>Net steady state</w:t>
            </w:r>
          </w:p>
        </w:tc>
        <w:tc>
          <w:tcPr>
            <w:tcW w:type="dxa" w:w="1728"/>
          </w:tcPr>
          <w:p>
            <w:pPr>
              <w:spacing w:after="40"/>
            </w:pPr>
            <w:r/>
            <w:r>
              <w:rPr>
                <w:b w:val="0"/>
                <w:sz w:val="18"/>
              </w:rPr>
              <w:t>+$259,111</w:t>
            </w:r>
          </w:p>
        </w:tc>
      </w:tr>
      <w:tr>
        <w:tc>
          <w:tcPr>
            <w:tcW w:type="dxa" w:w="6624"/>
          </w:tcPr>
          <w:p>
            <w:pPr>
              <w:spacing w:after="40"/>
            </w:pPr>
            <w:r/>
            <w:r>
              <w:rPr>
                <w:b w:val="0"/>
                <w:sz w:val="18"/>
              </w:rPr>
              <w:t>One-time costs (transition $64,500 + cross-training $32,000 + recruiting $96,000)</w:t>
            </w:r>
          </w:p>
        </w:tc>
        <w:tc>
          <w:tcPr>
            <w:tcW w:type="dxa" w:w="1728"/>
          </w:tcPr>
          <w:p>
            <w:pPr>
              <w:spacing w:after="40"/>
            </w:pPr>
            <w:r/>
            <w:r>
              <w:rPr>
                <w:b w:val="0"/>
                <w:sz w:val="18"/>
              </w:rPr>
              <w:t>-$192,500</w:t>
            </w:r>
          </w:p>
        </w:tc>
      </w:tr>
      <w:tr>
        <w:tc>
          <w:tcPr>
            <w:tcW w:type="dxa" w:w="6624"/>
          </w:tcPr>
          <w:p>
            <w:pPr>
              <w:spacing w:after="40"/>
            </w:pPr>
            <w:r/>
            <w:r>
              <w:rPr>
                <w:b w:val="0"/>
                <w:sz w:val="18"/>
              </w:rPr>
              <w:t>Net Year 1 (60% realization)</w:t>
            </w:r>
          </w:p>
        </w:tc>
        <w:tc>
          <w:tcPr>
            <w:tcW w:type="dxa" w:w="1728"/>
          </w:tcPr>
          <w:p>
            <w:pPr>
              <w:spacing w:after="40"/>
            </w:pPr>
            <w:r/>
            <w:r>
              <w:rPr>
                <w:b w:val="0"/>
                <w:sz w:val="18"/>
              </w:rPr>
              <w:t>-$37,033</w:t>
            </w:r>
          </w:p>
        </w:tc>
      </w:tr>
    </w:tbl>
    <w:p>
      <w:pPr>
        <w:pStyle w:val="Heading2"/>
      </w:pPr>
      <w:r>
        <w:rPr>
          <w:color w:val="1F4E79"/>
        </w:rPr>
        <w:t>5.1 Weighted evaluation</w:t>
      </w:r>
    </w:p>
    <w:p>
      <w:r>
        <w:rPr>
          <w:b w:val="0"/>
          <w:sz w:val="21"/>
        </w:rPr>
        <w:t>Each proposal is scored 1-5 on four dimensions (complexity scored as 6 minus its 1-5 rating; risk scored inversely, 5 = lowest risk). Weights reflect Council priorities: fiscal stewardship and service restoration carry equal top weight (30% each); implementation capacity 15%; risk tolerance 25%. Full rationale on the Comparison Summary tab.</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744"/>
          </w:tcPr>
          <w:p>
            <w:pPr>
              <w:spacing w:after="40"/>
            </w:pPr>
            <w:r/>
            <w:r>
              <w:rPr>
                <w:b/>
                <w:sz w:val="18"/>
              </w:rPr>
              <w:t>Dimension</w:t>
            </w:r>
          </w:p>
        </w:tc>
        <w:tc>
          <w:tcPr>
            <w:tcW w:type="dxa" w:w="1152"/>
          </w:tcPr>
          <w:p>
            <w:pPr>
              <w:spacing w:after="40"/>
            </w:pPr>
            <w:r/>
            <w:r>
              <w:rPr>
                <w:b/>
                <w:sz w:val="18"/>
              </w:rPr>
              <w:t>Weight</w:t>
            </w:r>
          </w:p>
        </w:tc>
        <w:tc>
          <w:tcPr>
            <w:tcW w:type="dxa" w:w="1008"/>
          </w:tcPr>
          <w:p>
            <w:pPr>
              <w:spacing w:after="40"/>
            </w:pPr>
            <w:r/>
            <w:r>
              <w:rPr>
                <w:b/>
                <w:sz w:val="18"/>
              </w:rPr>
              <w:t>A</w:t>
            </w:r>
          </w:p>
        </w:tc>
        <w:tc>
          <w:tcPr>
            <w:tcW w:type="dxa" w:w="1008"/>
          </w:tcPr>
          <w:p>
            <w:pPr>
              <w:spacing w:after="40"/>
            </w:pPr>
            <w:r/>
            <w:r>
              <w:rPr>
                <w:b/>
                <w:sz w:val="18"/>
              </w:rPr>
              <w:t>B</w:t>
            </w:r>
          </w:p>
        </w:tc>
        <w:tc>
          <w:tcPr>
            <w:tcW w:type="dxa" w:w="1296"/>
          </w:tcPr>
          <w:p>
            <w:pPr>
              <w:spacing w:after="40"/>
            </w:pPr>
            <w:r/>
            <w:r>
              <w:rPr>
                <w:b/>
                <w:sz w:val="18"/>
              </w:rPr>
              <w:t>Hybrid</w:t>
            </w:r>
          </w:p>
        </w:tc>
      </w:tr>
      <w:tr>
        <w:tc>
          <w:tcPr>
            <w:tcW w:type="dxa" w:w="3744"/>
          </w:tcPr>
          <w:p>
            <w:pPr>
              <w:spacing w:after="40"/>
            </w:pPr>
            <w:r/>
            <w:r>
              <w:rPr>
                <w:b w:val="0"/>
                <w:sz w:val="18"/>
              </w:rPr>
              <w:t>Annual net savings (steady state)</w:t>
            </w:r>
          </w:p>
        </w:tc>
        <w:tc>
          <w:tcPr>
            <w:tcW w:type="dxa" w:w="1152"/>
          </w:tcPr>
          <w:p>
            <w:pPr>
              <w:spacing w:after="40"/>
            </w:pPr>
            <w:r/>
            <w:r>
              <w:rPr>
                <w:b w:val="0"/>
                <w:sz w:val="18"/>
              </w:rPr>
              <w:t>30%</w:t>
            </w:r>
          </w:p>
        </w:tc>
        <w:tc>
          <w:tcPr>
            <w:tcW w:type="dxa" w:w="1008"/>
          </w:tcPr>
          <w:p>
            <w:pPr>
              <w:spacing w:after="40"/>
            </w:pPr>
            <w:r/>
            <w:r>
              <w:rPr>
                <w:b w:val="0"/>
                <w:sz w:val="18"/>
              </w:rPr>
              <w:t>5</w:t>
            </w:r>
          </w:p>
        </w:tc>
        <w:tc>
          <w:tcPr>
            <w:tcW w:type="dxa" w:w="1008"/>
          </w:tcPr>
          <w:p>
            <w:pPr>
              <w:spacing w:after="40"/>
            </w:pPr>
            <w:r/>
            <w:r>
              <w:rPr>
                <w:b w:val="0"/>
                <w:sz w:val="18"/>
              </w:rPr>
              <w:t>1</w:t>
            </w:r>
          </w:p>
        </w:tc>
        <w:tc>
          <w:tcPr>
            <w:tcW w:type="dxa" w:w="1296"/>
          </w:tcPr>
          <w:p>
            <w:pPr>
              <w:spacing w:after="40"/>
            </w:pPr>
            <w:r/>
            <w:r>
              <w:rPr>
                <w:b w:val="0"/>
                <w:sz w:val="18"/>
              </w:rPr>
              <w:t>3</w:t>
            </w:r>
          </w:p>
        </w:tc>
      </w:tr>
      <w:tr>
        <w:tc>
          <w:tcPr>
            <w:tcW w:type="dxa" w:w="3744"/>
          </w:tcPr>
          <w:p>
            <w:pPr>
              <w:spacing w:after="40"/>
            </w:pPr>
            <w:r/>
            <w:r>
              <w:rPr>
                <w:b w:val="0"/>
                <w:sz w:val="18"/>
              </w:rPr>
              <w:t>Projected SLA improvement</w:t>
            </w:r>
          </w:p>
        </w:tc>
        <w:tc>
          <w:tcPr>
            <w:tcW w:type="dxa" w:w="1152"/>
          </w:tcPr>
          <w:p>
            <w:pPr>
              <w:spacing w:after="40"/>
            </w:pPr>
            <w:r/>
            <w:r>
              <w:rPr>
                <w:b w:val="0"/>
                <w:sz w:val="18"/>
              </w:rPr>
              <w:t>30%</w:t>
            </w:r>
          </w:p>
        </w:tc>
        <w:tc>
          <w:tcPr>
            <w:tcW w:type="dxa" w:w="1008"/>
          </w:tcPr>
          <w:p>
            <w:pPr>
              <w:spacing w:after="40"/>
            </w:pPr>
            <w:r/>
            <w:r>
              <w:rPr>
                <w:b w:val="0"/>
                <w:sz w:val="18"/>
              </w:rPr>
              <w:t>3</w:t>
            </w:r>
          </w:p>
        </w:tc>
        <w:tc>
          <w:tcPr>
            <w:tcW w:type="dxa" w:w="1008"/>
          </w:tcPr>
          <w:p>
            <w:pPr>
              <w:spacing w:after="40"/>
            </w:pPr>
            <w:r/>
            <w:r>
              <w:rPr>
                <w:b w:val="0"/>
                <w:sz w:val="18"/>
              </w:rPr>
              <w:t>4</w:t>
            </w:r>
          </w:p>
        </w:tc>
        <w:tc>
          <w:tcPr>
            <w:tcW w:type="dxa" w:w="1296"/>
          </w:tcPr>
          <w:p>
            <w:pPr>
              <w:spacing w:after="40"/>
            </w:pPr>
            <w:r/>
            <w:r>
              <w:rPr>
                <w:b w:val="0"/>
                <w:sz w:val="18"/>
              </w:rPr>
              <w:t>5</w:t>
            </w:r>
          </w:p>
        </w:tc>
      </w:tr>
      <w:tr>
        <w:tc>
          <w:tcPr>
            <w:tcW w:type="dxa" w:w="3744"/>
          </w:tcPr>
          <w:p>
            <w:pPr>
              <w:spacing w:after="40"/>
            </w:pPr>
            <w:r/>
            <w:r>
              <w:rPr>
                <w:b w:val="0"/>
                <w:sz w:val="18"/>
              </w:rPr>
              <w:t>Implementation complexity (inverted)</w:t>
            </w:r>
          </w:p>
        </w:tc>
        <w:tc>
          <w:tcPr>
            <w:tcW w:type="dxa" w:w="1152"/>
          </w:tcPr>
          <w:p>
            <w:pPr>
              <w:spacing w:after="40"/>
            </w:pPr>
            <w:r/>
            <w:r>
              <w:rPr>
                <w:b w:val="0"/>
                <w:sz w:val="18"/>
              </w:rPr>
              <w:t>15%</w:t>
            </w:r>
          </w:p>
        </w:tc>
        <w:tc>
          <w:tcPr>
            <w:tcW w:type="dxa" w:w="1008"/>
          </w:tcPr>
          <w:p>
            <w:pPr>
              <w:spacing w:after="40"/>
            </w:pPr>
            <w:r/>
            <w:r>
              <w:rPr>
                <w:b w:val="0"/>
                <w:sz w:val="18"/>
              </w:rPr>
              <w:t>2</w:t>
            </w:r>
          </w:p>
        </w:tc>
        <w:tc>
          <w:tcPr>
            <w:tcW w:type="dxa" w:w="1008"/>
          </w:tcPr>
          <w:p>
            <w:pPr>
              <w:spacing w:after="40"/>
            </w:pPr>
            <w:r/>
            <w:r>
              <w:rPr>
                <w:b w:val="0"/>
                <w:sz w:val="18"/>
              </w:rPr>
              <w:t>4</w:t>
            </w:r>
          </w:p>
        </w:tc>
        <w:tc>
          <w:tcPr>
            <w:tcW w:type="dxa" w:w="1296"/>
          </w:tcPr>
          <w:p>
            <w:pPr>
              <w:spacing w:after="40"/>
            </w:pPr>
            <w:r/>
            <w:r>
              <w:rPr>
                <w:b w:val="0"/>
                <w:sz w:val="18"/>
              </w:rPr>
              <w:t>3</w:t>
            </w:r>
          </w:p>
        </w:tc>
      </w:tr>
      <w:tr>
        <w:tc>
          <w:tcPr>
            <w:tcW w:type="dxa" w:w="3744"/>
          </w:tcPr>
          <w:p>
            <w:pPr>
              <w:spacing w:after="40"/>
            </w:pPr>
            <w:r/>
            <w:r>
              <w:rPr>
                <w:b w:val="0"/>
                <w:sz w:val="18"/>
              </w:rPr>
              <w:t>Risk (5 = lowest)</w:t>
            </w:r>
          </w:p>
        </w:tc>
        <w:tc>
          <w:tcPr>
            <w:tcW w:type="dxa" w:w="1152"/>
          </w:tcPr>
          <w:p>
            <w:pPr>
              <w:spacing w:after="40"/>
            </w:pPr>
            <w:r/>
            <w:r>
              <w:rPr>
                <w:b w:val="0"/>
                <w:sz w:val="18"/>
              </w:rPr>
              <w:t>25%</w:t>
            </w:r>
          </w:p>
        </w:tc>
        <w:tc>
          <w:tcPr>
            <w:tcW w:type="dxa" w:w="1008"/>
          </w:tcPr>
          <w:p>
            <w:pPr>
              <w:spacing w:after="40"/>
            </w:pPr>
            <w:r/>
            <w:r>
              <w:rPr>
                <w:b w:val="0"/>
                <w:sz w:val="18"/>
              </w:rPr>
              <w:t>2</w:t>
            </w:r>
          </w:p>
        </w:tc>
        <w:tc>
          <w:tcPr>
            <w:tcW w:type="dxa" w:w="1008"/>
          </w:tcPr>
          <w:p>
            <w:pPr>
              <w:spacing w:after="40"/>
            </w:pPr>
            <w:r/>
            <w:r>
              <w:rPr>
                <w:b w:val="0"/>
                <w:sz w:val="18"/>
              </w:rPr>
              <w:t>5</w:t>
            </w:r>
          </w:p>
        </w:tc>
        <w:tc>
          <w:tcPr>
            <w:tcW w:type="dxa" w:w="1296"/>
          </w:tcPr>
          <w:p>
            <w:pPr>
              <w:spacing w:after="40"/>
            </w:pPr>
            <w:r/>
            <w:r>
              <w:rPr>
                <w:b w:val="0"/>
                <w:sz w:val="18"/>
              </w:rPr>
              <w:t>3</w:t>
            </w:r>
          </w:p>
        </w:tc>
      </w:tr>
      <w:tr>
        <w:tc>
          <w:tcPr>
            <w:tcW w:type="dxa" w:w="3744"/>
          </w:tcPr>
          <w:p>
            <w:pPr>
              <w:spacing w:after="40"/>
            </w:pPr>
            <w:r/>
            <w:r>
              <w:rPr>
                <w:b/>
                <w:sz w:val="18"/>
              </w:rPr>
              <w:t>Weighted total</w:t>
            </w:r>
          </w:p>
        </w:tc>
        <w:tc>
          <w:tcPr>
            <w:tcW w:type="dxa" w:w="1152"/>
          </w:tcPr>
          <w:p>
            <w:pPr>
              <w:spacing w:after="40"/>
            </w:pPr>
            <w:r/>
            <w:r>
              <w:rPr>
                <w:b/>
                <w:sz w:val="18"/>
              </w:rPr>
              <w:t>100%</w:t>
            </w:r>
          </w:p>
        </w:tc>
        <w:tc>
          <w:tcPr>
            <w:tcW w:type="dxa" w:w="1008"/>
          </w:tcPr>
          <w:p>
            <w:pPr>
              <w:spacing w:after="40"/>
            </w:pPr>
            <w:r/>
            <w:r>
              <w:rPr>
                <w:b/>
                <w:sz w:val="18"/>
              </w:rPr>
              <w:t>3.20</w:t>
            </w:r>
          </w:p>
        </w:tc>
        <w:tc>
          <w:tcPr>
            <w:tcW w:type="dxa" w:w="1008"/>
          </w:tcPr>
          <w:p>
            <w:pPr>
              <w:spacing w:after="40"/>
            </w:pPr>
            <w:r/>
            <w:r>
              <w:rPr>
                <w:b/>
                <w:sz w:val="18"/>
              </w:rPr>
              <w:t>3.35</w:t>
            </w:r>
          </w:p>
        </w:tc>
        <w:tc>
          <w:tcPr>
            <w:tcW w:type="dxa" w:w="1296"/>
          </w:tcPr>
          <w:p>
            <w:pPr>
              <w:spacing w:after="40"/>
            </w:pPr>
            <w:r/>
            <w:r>
              <w:rPr>
                <w:b/>
                <w:sz w:val="18"/>
              </w:rPr>
              <w:t>3.60</w:t>
            </w:r>
          </w:p>
        </w:tc>
      </w:tr>
    </w:tbl>
    <w:p>
      <w:r>
        <w:rPr>
          <w:b w:val="0"/>
          <w:sz w:val="21"/>
        </w:rPr>
        <w:t>SLA-improvement basis: Proposal A places 7 of 8 lagging processes in scope but its modeled +8-point on-time gain is discounted for transition risk and capacity cuts; Proposal B reaches 7 of 8 through hiring (Transportation, Health), cross-training (Sanitation), and the Fire cap, with +10 points modeled where hires land; the Hybrid combines both mechanisms and concentrates merger synergy on the two worst processes in the city. The residual gap - Parks' Tree Removal process (62.4%, manual, 2.5% error) - is recommended for a process-automation review in the FY2027 budget cycle, not a structural fix.</w:t>
      </w:r>
    </w:p>
    <w:p>
      <w:pPr>
        <w:pStyle w:val="Heading2"/>
      </w:pPr>
      <w:r>
        <w:rPr>
          <w:color w:val="1F4E79"/>
        </w:rPr>
        <w:t>5.2 Implementation sequencing (12 months)</w:t>
      </w:r>
    </w:p>
    <w:p>
      <w:pPr>
        <w:pStyle w:val="ListBullet"/>
      </w:pPr>
      <w:r>
        <w:rPr>
          <w:b/>
        </w:rPr>
        <w:t xml:space="preserve">Quarter 1: </w:t>
      </w:r>
      <w:r>
        <w:t>Council vote; labor consultation on the Public Works merger and OT cap; baseline dashboard published (vacancy, OT%, on-time%, 311 days).</w:t>
      </w:r>
    </w:p>
    <w:p>
      <w:pPr>
        <w:pStyle w:val="ListBullet"/>
      </w:pPr>
      <w:r>
        <w:rPr>
          <w:b/>
        </w:rPr>
        <w:t xml:space="preserve">Quarter 2: </w:t>
      </w:r>
      <w:r>
        <w:t>Open all 12 requisitions through the centralized hiring unit with an exam/assessment turnaround target of 180 days or less (DCAS benchmark: 318 to 219 days); begin Public Works integration design (fleet pool, crew rosters).</w:t>
      </w:r>
    </w:p>
    <w:p>
      <w:pPr>
        <w:pStyle w:val="ListBullet"/>
      </w:pPr>
      <w:r>
        <w:rPr>
          <w:b/>
        </w:rPr>
        <w:t xml:space="preserve">Quarter 3: </w:t>
      </w:r>
      <w:r>
        <w:t>First cross-training cohort (Transportation winter pool of 9) completed before the December breach window; merger Day-1 for Public Works; Fire OT cap reporting begins.</w:t>
      </w:r>
    </w:p>
    <w:p>
      <w:pPr>
        <w:pStyle w:val="ListBullet"/>
      </w:pPr>
      <w:r>
        <w:rPr>
          <w:b/>
        </w:rPr>
        <w:t xml:space="preserve">Quarter 4: </w:t>
      </w:r>
      <w:r>
        <w:t>Sanitation (4) and Health (3) cross-training cohorts; first quarterly review against thresholds (vacancy &lt;=12% per triggered division; OT &lt;=10%; on-time &gt;=65%); course-correct hiring slippage.</w:t>
      </w:r>
    </w:p>
    <w:p>
      <w:r>
        <w:rPr>
          <w:b w:val="0"/>
          <w:sz w:val="21"/>
        </w:rPr>
        <w:t>Success measures at month 12: at least 9 of 12 hires onboard; triggered-division vacancy rates at or below 12% or on trajectory; Fire OT ratio at or below 12.5% en route to 10%; seasonal OT excess in Public Works reduced by at least 40% of the FY2024 $73,093 baseline; no deterioration in 311 close rates.</w:t>
      </w:r>
    </w:p>
    <w:p>
      <w:pPr>
        <w:pStyle w:val="Heading1"/>
      </w:pPr>
      <w:r>
        <w:rPr>
          <w:color w:val="1F4E79"/>
        </w:rPr>
        <w:t>6. Assumptions and Limitations</w:t>
      </w:r>
    </w:p>
    <w:p>
      <w:r>
        <w:rPr>
          <w:b w:val="0"/>
          <w:sz w:val="21"/>
        </w:rPr>
        <w:t>Every modeled figure above is computed in the attached workbook from the FY2024 source files; the assumptions below are the model's judgment inputs and are also documented on the tabs that use them.</w:t>
      </w:r>
    </w:p>
    <w:p>
      <w:pPr>
        <w:pStyle w:val="ListBullet"/>
      </w:pPr>
      <w:r>
        <w:t>Administrative layer = 6% of a department's authorized positions; 50% consolidated in a merger; administrative positions priced at 1.25x department average salary. The source workbook records operational divisions only, so administrative staffing is inferred, not observed.</w:t>
      </w:r>
    </w:p>
    <w:p>
      <w:pPr>
        <w:pStyle w:val="ListBullet"/>
      </w:pPr>
      <w:r>
        <w:t>Fringe/benefits load of 25% on all salary values; administrative premium 1.25x.</w:t>
      </w:r>
    </w:p>
    <w:p>
      <w:pPr>
        <w:pStyle w:val="ListBullet"/>
      </w:pPr>
      <w:r>
        <w:t>Vacancy abolition: 25% of vacancies in merged departments (Proposal A), restricted to non-triggered divisions in the Hybrid. Abolished positions carry department-average salaries.</w:t>
      </w:r>
    </w:p>
    <w:p>
      <w:pPr>
        <w:pStyle w:val="ListBullet"/>
      </w:pPr>
      <w:r>
        <w:t>Shared fleet/crew OT reduction: 15% of combined Transportation+Sanitation overtime cost; Health+Parks has no comparable pool and is assigned none.</w:t>
      </w:r>
    </w:p>
    <w:p>
      <w:pPr>
        <w:pStyle w:val="ListBullet"/>
      </w:pPr>
      <w:r>
        <w:t>Transition costs: $300 per filled employee in merged departments; no severance (attrition absorption).</w:t>
      </w:r>
    </w:p>
    <w:p>
      <w:pPr>
        <w:pStyle w:val="ListBullet"/>
      </w:pPr>
      <w:r>
        <w:t>Year-1 realization: 60% of steady-state savings for merger components (A and Hybrid), 70% for Proposal B (hiring staggered).</w:t>
      </w:r>
    </w:p>
    <w:p>
      <w:pPr>
        <w:pStyle w:val="ListBullet"/>
      </w:pPr>
      <w:r>
        <w:t>Fire OT cap: 50% of the excess above a 10% cap is recoverable (structural driver).</w:t>
      </w:r>
    </w:p>
    <w:p>
      <w:pPr>
        <w:pStyle w:val="ListBullet"/>
      </w:pPr>
      <w:r>
        <w:t>OT displacement from hiring: 30% of salary add-back; seasonal recovery from cross-training: 40% of the $73,093 seasonal excess.</w:t>
      </w:r>
    </w:p>
    <w:p>
      <w:pPr>
        <w:pStyle w:val="ListBullet"/>
      </w:pPr>
      <w:r>
        <w:t>Recruiting $8,000 per hire; cross-training $2,000 per trainee.</w:t>
      </w:r>
    </w:p>
    <w:p>
      <w:pPr>
        <w:pStyle w:val="ListBullet"/>
      </w:pPr>
      <w:r>
        <w:t>Limitations: FY2024 is a single operating year; 311 resolution-day averages exclude the 63 requests still open or in progress; the MMR benchmark file carries no usable FY2026 rows for DPR or DSNY (values blank), so those agencies are benchmarked on vacancy and attrition only; the source data does not map processes to divisions, so hiring-to-process linkages are inferred from department membership; NYC per-position costs compare budgeted positions to Greenfield filled positions and indicate relative intensity, not equivalent service scopes.</w:t>
      </w:r>
    </w:p>
    <w:p>
      <w:pPr>
        <w:pStyle w:val="Heading2"/>
      </w:pPr>
      <w:r>
        <w:rPr>
          <w:color w:val="1F4E79"/>
        </w:rPr>
        <w:t>Sources</w:t>
      </w:r>
    </w:p>
    <w:p>
      <w:r>
        <w:rPr>
          <w:b w:val="0"/>
          <w:sz w:val="18"/>
        </w:rPr>
        <w:t>Greenfield_Dept_Staffing_Overtime_FY2024.xlsx (Staffing_Summary; Monthly_Overtime; Process_Metrics); Greenfield_311_Service_Requests_FY2024.csv (500 requests, FY Jul 2023-Jun 2024); NYC_Expense_Budget_Selected.csv (FY2024 adopted, personal services); NYC_MMR_Selected_Agencies.csv (rbed-zzin snapshot; FDNY response-time indicators); NYS Comptroller, 2024 Update on NYC Staffing Trends (Report 2-2025), including Appendix A (headcounts) and Appendix B (vacancy rates).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