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GoodRx Holdings (NASDAQ: GDRX) ��� First Lien Term Loan Long Pitch</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goodrx-holdings-inc.-nasdaq-gdrx"/>
    <w:p>
      <w:pPr>
        <w:pStyle w:val="Heading1"/>
      </w:pPr>
      <w:r>
        <w:t xml:space="preserve">GoodRx Holdings, Inc. (NASDAQ: GDRX)</w:t>
      </w:r>
    </w:p>
    <w:bookmarkStart w:id="21" w:name="X9ca34c4d359974f26c85ed85c346cf0b9d5772e"/>
    <w:p>
      <w:pPr>
        <w:pStyle w:val="Heading2"/>
      </w:pPr>
      <w:r>
        <w:t xml:space="preserve">Long Credit Research | First Lien Term Loan due July 2029</w:t>
      </w:r>
    </w:p>
    <w:bookmarkStart w:id="20" w:name="X2d4491aa9bc5df792b760deb2b51d37ad2274a2"/>
    <w:p>
      <w:pPr>
        <w:pStyle w:val="Heading3"/>
      </w:pPr>
      <w:r>
        <w:t xml:space="preserve">Recommendation: LONG / Overweight the 2024 First Lien Term Loan (SOFR+375)</w:t>
      </w:r>
    </w:p>
    <w:p>
      <w:pPr>
        <w:pStyle w:val="FirstParagraph"/>
      </w:pPr>
      <w:r>
        <w:rPr>
          <w:bCs/>
          <w:b/>
        </w:rPr>
        <w:t xml:space="preserve">Prepared as a primary reference for a long / overweight credit pitch on the GoodRx 2024 Term Loan.</w:t>
      </w:r>
      <w:r>
        <w:t xml:space="preserve"> </w:t>
      </w:r>
      <w:r>
        <w:t xml:space="preserve">Data current through the Q1 2026 10-Q (reported May 6, 2026) and public disclosures through July 13, 2026. All figures GAAP unless labeled Adjusted or non-GAAP. Adjusted EBITDA is the company’s definition unless otherwise noted. All loan marks, ratings, and SOFR levels must be refreshed live on the desk before execution. Illustrative entry and return figures below use a ~99.0 dollar price and ~8.0% all-in coupon and must be re-struck to the live mark.</w:t>
      </w:r>
    </w:p>
    <w:p>
      <w:r>
        <w:pict>
          <v:rect style="width:0;height:1.5pt" o:hralign="center" o:hrstd="t" o:hr="t"/>
        </w:pict>
      </w:r>
    </w:p>
    <w:bookmarkEnd w:id="20"/>
    <w:bookmarkEnd w:id="21"/>
    <w:bookmarkStart w:id="22" w:name="the-trade-summary-box"/>
    <w:p>
      <w:pPr>
        <w:pStyle w:val="Heading2"/>
      </w:pPr>
      <w:r>
        <w:t xml:space="preserve">THE TRADE (Summary Box)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Recommendation</w:t>
            </w:r>
          </w:p>
        </w:tc>
      </w:tr>
      <w:tr>
        <w:tc>
          <w:tcPr/>
          <w:p>
            <w:pPr>
              <w:pStyle w:val="Compact"/>
              <w:jc w:val="left"/>
            </w:pPr>
            <w:r>
              <w:rPr>
                <w:bCs/>
                <w:b/>
              </w:rPr>
              <w:t xml:space="preserve">Direction</w:t>
            </w:r>
          </w:p>
        </w:tc>
        <w:tc>
          <w:tcPr/>
          <w:p>
            <w:pPr>
              <w:pStyle w:val="Compact"/>
              <w:jc w:val="left"/>
            </w:pPr>
            <w:r>
              <w:t xml:space="preserve">Long / overweight (initiate or add)</w:t>
            </w:r>
          </w:p>
        </w:tc>
      </w:tr>
      <w:tr>
        <w:tc>
          <w:tcPr/>
          <w:p>
            <w:pPr>
              <w:pStyle w:val="Compact"/>
              <w:jc w:val="left"/>
            </w:pPr>
            <w:r>
              <w:rPr>
                <w:bCs/>
                <w:b/>
              </w:rPr>
              <w:t xml:space="preserve">Instrument</w:t>
            </w:r>
          </w:p>
        </w:tc>
        <w:tc>
          <w:tcPr/>
          <w:p>
            <w:pPr>
              <w:pStyle w:val="Compact"/>
              <w:jc w:val="left"/>
            </w:pPr>
            <w:r>
              <w:t xml:space="preserve">GoodRx 2024 First Lien Term Loan due July 10, 2029, Term SOFR + 3.75% (0% floor)</w:t>
            </w:r>
          </w:p>
        </w:tc>
      </w:tr>
      <w:tr>
        <w:tc>
          <w:tcPr/>
          <w:p>
            <w:pPr>
              <w:pStyle w:val="Compact"/>
              <w:jc w:val="left"/>
            </w:pPr>
            <w:r>
              <w:rPr>
                <w:bCs/>
                <w:b/>
              </w:rPr>
              <w:t xml:space="preserve">Thesis in one line</w:t>
            </w:r>
          </w:p>
        </w:tc>
        <w:tc>
          <w:tcPr/>
          <w:p>
            <w:pPr>
              <w:pStyle w:val="Compact"/>
              <w:jc w:val="left"/>
            </w:pPr>
            <w:r>
              <w:t xml:space="preserve">Get paid ~8% all-in on a first lien secured on an asset-light, cash-generative business levered at ~1x net, with three years to maturity and best-in-class recovery, while the market misprices the loan for equity-style terminal-decline fear it does not deserve.</w:t>
            </w:r>
          </w:p>
        </w:tc>
      </w:tr>
      <w:tr>
        <w:tc>
          <w:tcPr/>
          <w:p>
            <w:pPr>
              <w:pStyle w:val="Compact"/>
              <w:jc w:val="left"/>
            </w:pPr>
            <w:r>
              <w:rPr>
                <w:bCs/>
                <w:b/>
              </w:rPr>
              <w:t xml:space="preserve">Illustrative entry</w:t>
            </w:r>
          </w:p>
        </w:tc>
        <w:tc>
          <w:tcPr/>
          <w:p>
            <w:pPr>
              <w:pStyle w:val="Compact"/>
              <w:jc w:val="left"/>
            </w:pPr>
            <w:r>
              <w:t xml:space="preserve">~99.0 (verify live; anything 98.0-99.5 is an attractive entry on this credit)</w:t>
            </w:r>
          </w:p>
        </w:tc>
      </w:tr>
      <w:tr>
        <w:tc>
          <w:tcPr/>
          <w:p>
            <w:pPr>
              <w:pStyle w:val="Compact"/>
              <w:jc w:val="left"/>
            </w:pPr>
            <w:r>
              <w:rPr>
                <w:bCs/>
                <w:b/>
              </w:rPr>
              <w:t xml:space="preserve">12-month base-case total return</w:t>
            </w:r>
          </w:p>
        </w:tc>
        <w:tc>
          <w:tcPr/>
          <w:p>
            <w:pPr>
              <w:pStyle w:val="Compact"/>
              <w:jc w:val="left"/>
            </w:pPr>
            <w:r>
              <w:t xml:space="preserve">~9% (roughly 8 points carry plus ~1 point pull toward par)</w:t>
            </w:r>
          </w:p>
        </w:tc>
      </w:tr>
      <w:tr>
        <w:tc>
          <w:tcPr/>
          <w:p>
            <w:pPr>
              <w:pStyle w:val="Compact"/>
              <w:jc w:val="left"/>
            </w:pPr>
            <w:r>
              <w:rPr>
                <w:bCs/>
                <w:b/>
              </w:rPr>
              <w:t xml:space="preserve">Bull case</w:t>
            </w:r>
          </w:p>
        </w:tc>
        <w:tc>
          <w:tcPr/>
          <w:p>
            <w:pPr>
              <w:pStyle w:val="Compact"/>
              <w:jc w:val="left"/>
            </w:pPr>
            <w:r>
              <w:t xml:space="preserve">Low double digits, accelerated by a par take-out (M&amp;A) or a 2027-2028 refinancing at par</w:t>
            </w:r>
          </w:p>
        </w:tc>
      </w:tr>
      <w:tr>
        <w:tc>
          <w:tcPr/>
          <w:p>
            <w:pPr>
              <w:pStyle w:val="Compact"/>
              <w:jc w:val="left"/>
            </w:pPr>
            <w:r>
              <w:rPr>
                <w:bCs/>
                <w:b/>
              </w:rPr>
              <w:t xml:space="preserve">Bear case</w:t>
            </w:r>
          </w:p>
        </w:tc>
        <w:tc>
          <w:tcPr/>
          <w:p>
            <w:pPr>
              <w:pStyle w:val="Compact"/>
              <w:jc w:val="left"/>
            </w:pPr>
            <w:r>
              <w:t xml:space="preserve">Roughly +5% (carry absorbs a 150-250bp spread-widening mark), principal protected by high recovery and hold-to-par</w:t>
            </w:r>
          </w:p>
        </w:tc>
      </w:tr>
      <w:tr>
        <w:tc>
          <w:tcPr/>
          <w:p>
            <w:pPr>
              <w:pStyle w:val="Compact"/>
              <w:jc w:val="left"/>
            </w:pPr>
            <w:r>
              <w:rPr>
                <w:bCs/>
                <w:b/>
              </w:rPr>
              <w:t xml:space="preserve">Carry</w:t>
            </w:r>
          </w:p>
        </w:tc>
        <w:tc>
          <w:tcPr/>
          <w:p>
            <w:pPr>
              <w:pStyle w:val="Compact"/>
              <w:jc w:val="left"/>
            </w:pPr>
            <w:r>
              <w:t xml:space="preserve">Positive. You earn the coupon. Time works for you, the opposite of the short.</w:t>
            </w:r>
          </w:p>
        </w:tc>
      </w:tr>
      <w:tr>
        <w:tc>
          <w:tcPr/>
          <w:p>
            <w:pPr>
              <w:pStyle w:val="Compact"/>
              <w:jc w:val="left"/>
            </w:pPr>
            <w:r>
              <w:rPr>
                <w:bCs/>
                <w:b/>
              </w:rPr>
              <w:t xml:space="preserve">Horizon</w:t>
            </w:r>
          </w:p>
        </w:tc>
        <w:tc>
          <w:tcPr/>
          <w:p>
            <w:pPr>
              <w:pStyle w:val="Compact"/>
              <w:jc w:val="left"/>
            </w:pPr>
            <w:r>
              <w:t xml:space="preserve">12-24 months core hold, with natural exits at refinancing or take-out</w:t>
            </w:r>
          </w:p>
        </w:tc>
      </w:tr>
      <w:tr>
        <w:tc>
          <w:tcPr/>
          <w:p>
            <w:pPr>
              <w:pStyle w:val="Compact"/>
              <w:jc w:val="left"/>
            </w:pPr>
            <w:r>
              <w:rPr>
                <w:bCs/>
                <w:b/>
              </w:rPr>
              <w:t xml:space="preserve">Size</w:t>
            </w:r>
          </w:p>
        </w:tc>
        <w:tc>
          <w:tcPr/>
          <w:p>
            <w:pPr>
              <w:pStyle w:val="Compact"/>
              <w:jc w:val="left"/>
            </w:pPr>
            <w:r>
              <w:t xml:space="preserve">Core carry position. For a diversified loan book, ~2-3% of NAV (illustratively $10-15M notional on a $500M portfolio), toward the upper end of a single-B single-name limit given the safety profile</w:t>
            </w:r>
          </w:p>
        </w:tc>
      </w:tr>
      <w:tr>
        <w:tc>
          <w:tcPr/>
          <w:p>
            <w:pPr>
              <w:pStyle w:val="Compact"/>
              <w:jc w:val="left"/>
            </w:pPr>
            <w:r>
              <w:rPr>
                <w:bCs/>
                <w:b/>
              </w:rPr>
              <w:t xml:space="preserve">Entry tactic</w:t>
            </w:r>
          </w:p>
        </w:tc>
        <w:tc>
          <w:tcPr/>
          <w:p>
            <w:pPr>
              <w:pStyle w:val="Compact"/>
              <w:jc w:val="left"/>
            </w:pPr>
            <w:r>
              <w:t xml:space="preserve">Scale in. Add aggressively on any spread-driven dips toward 97-98, which only improve the entry yield on a money-good name</w:t>
            </w:r>
          </w:p>
        </w:tc>
      </w:tr>
      <w:tr>
        <w:tc>
          <w:tcPr/>
          <w:p>
            <w:pPr>
              <w:pStyle w:val="Compact"/>
              <w:jc w:val="left"/>
            </w:pPr>
            <w:r>
              <w:rPr>
                <w:bCs/>
                <w:b/>
              </w:rPr>
              <w:t xml:space="preserve">Financing</w:t>
            </w:r>
          </w:p>
        </w:tc>
        <w:tc>
          <w:tcPr/>
          <w:p>
            <w:pPr>
              <w:pStyle w:val="Compact"/>
              <w:jc w:val="left"/>
            </w:pPr>
            <w:r>
              <w:t xml:space="preserve">Likely CLO-eligible (performing, single-B, first lien), a supportive technical bid</w:t>
            </w:r>
          </w:p>
        </w:tc>
      </w:tr>
      <w:tr>
        <w:tc>
          <w:tcPr/>
          <w:p>
            <w:pPr>
              <w:pStyle w:val="Compact"/>
              <w:jc w:val="left"/>
            </w:pPr>
            <w:r>
              <w:rPr>
                <w:bCs/>
                <w:b/>
              </w:rPr>
              <w:t xml:space="preserve">Key risk</w:t>
            </w:r>
          </w:p>
        </w:tc>
        <w:tc>
          <w:tcPr/>
          <w:p>
            <w:pPr>
              <w:pStyle w:val="Compact"/>
              <w:jc w:val="left"/>
            </w:pPr>
            <w:r>
              <w:t xml:space="preserve">A large debt-funded acquisition that re-levers above ~4x. Even then, principal is protected by recovery.</w:t>
            </w:r>
          </w:p>
        </w:tc>
      </w:tr>
      <w:tr>
        <w:tc>
          <w:tcPr/>
          <w:p>
            <w:pPr>
              <w:pStyle w:val="Compact"/>
              <w:jc w:val="left"/>
            </w:pPr>
            <w:r>
              <w:rPr>
                <w:bCs/>
                <w:b/>
              </w:rPr>
              <w:t xml:space="preserve">Reassess if</w:t>
            </w:r>
          </w:p>
        </w:tc>
        <w:tc>
          <w:tcPr/>
          <w:p>
            <w:pPr>
              <w:pStyle w:val="Compact"/>
              <w:jc w:val="left"/>
            </w:pPr>
            <w:r>
              <w:t xml:space="preserve">Gross leverage trajectory breaks above ~4x, LTM Adjusted EBITDA falls below ~$180M with no stabilization, the credit agreement reveals aggressive drop-down or priming capacity, or the 2029 maturity approaches unaddressed into a closed refinancing market</w:t>
            </w:r>
          </w:p>
        </w:tc>
      </w:tr>
    </w:tbl>
    <w:p>
      <w:pPr>
        <w:pStyle w:val="BodyText"/>
      </w:pPr>
      <w:r>
        <w:t xml:space="preserve">The full trade construction, including sizing logic, entry discipline, expressions, and scenario return math, is in Section 11.</w:t>
      </w:r>
    </w:p>
    <w:p>
      <w:r>
        <w:pict>
          <v:rect style="width:0;height:1.5pt" o:hralign="center" o:hrstd="t" o:hr="t"/>
        </w:pict>
      </w:r>
    </w:p>
    <w:bookmarkEnd w:id="22"/>
    <w:bookmarkEnd w:id="23"/>
    <w:bookmarkStart w:id="29" w:name="executive-summary"/>
    <w:p>
      <w:pPr>
        <w:pStyle w:val="Heading1"/>
      </w:pPr>
      <w:r>
        <w:t xml:space="preserve">1. Executive Summary</w:t>
      </w:r>
    </w:p>
    <w:bookmarkStart w:id="24" w:name="Xeb4ccb56b96e02530987f62f707f505b71bfddf"/>
    <w:p>
      <w:pPr>
        <w:pStyle w:val="Heading2"/>
      </w:pPr>
      <w:r>
        <w:t xml:space="preserve">1.1 How To Read This Document (Analyst’s Framing Note)</w:t>
      </w:r>
    </w:p>
    <w:p>
      <w:pPr>
        <w:pStyle w:val="FirstParagraph"/>
      </w:pPr>
      <w:r>
        <w:t xml:space="preserve">The single most important thing to internalize before you present is this. GoodRx is one of the safest credits in the leveraged loan market on a balance-sheet basis. It runs roughly 1.0x net and 1.9x gross leverage, generates positive free cash flow, holds $235.7 million of cash, has no maturity until July 2029, and carries a single first lien on substantially all assets with no other debt in the structure. Interest is covered roughly 6.5x on Adjusted EBITDA. On those facts, the loan is money-good across a very wide range of outcomes.</w:t>
      </w:r>
    </w:p>
    <w:p>
      <w:pPr>
        <w:pStyle w:val="BodyText"/>
      </w:pPr>
      <w:r>
        <w:t xml:space="preserve">The long thesis is not that the business is great. It is not. The high-margin prescription-transactions core is in real decline, and that is well documented in the short case. The long thesis is that the market prices this loan as if it were exposed to the equity’s terminal-decline risk, when the credit only requires two far easier things to be true: that the company keeps covering roughly $39 million of annual interest (it covers it many times over) and that it refinances or is taken out at or near par by 2029 (highly achievable at 1x leverage with positive free cash flow). The gap between</w:t>
      </w:r>
      <w:r>
        <w:t xml:space="preserve"> </w:t>
      </w:r>
      <w:r>
        <w:t xml:space="preserve">“</w:t>
      </w:r>
      <w:r>
        <w:t xml:space="preserve">the equity might be worth little</w:t>
      </w:r>
      <w:r>
        <w:t xml:space="preserve">”</w:t>
      </w:r>
      <w:r>
        <w:t xml:space="preserve"> </w:t>
      </w:r>
      <w:r>
        <w:t xml:space="preserve">and</w:t>
      </w:r>
      <w:r>
        <w:t xml:space="preserve"> </w:t>
      </w:r>
      <w:r>
        <w:t xml:space="preserve">“</w:t>
      </w:r>
      <w:r>
        <w:t xml:space="preserve">the loan gets repaid</w:t>
      </w:r>
      <w:r>
        <w:t xml:space="preserve">”</w:t>
      </w:r>
      <w:r>
        <w:t xml:space="preserve"> </w:t>
      </w:r>
      <w:r>
        <w:t xml:space="preserve">is the entire trade.</w:t>
      </w:r>
    </w:p>
    <w:p>
      <w:pPr>
        <w:pStyle w:val="BodyText"/>
      </w:pPr>
      <w:r>
        <w:t xml:space="preserve">You are being paid a full single-B spread to hold a sub-2x-levered first lien. That is the mispricing. Every section below connects back to one question. Is the loan money-good and is the spread more than enough to compensate for the credit risk you actually bear? The answer this document builds toward is yes on both counts, which makes the loan a long.</w:t>
      </w:r>
    </w:p>
    <w:bookmarkEnd w:id="24"/>
    <w:bookmarkStart w:id="25" w:name="the-long-thesis"/>
    <w:p>
      <w:pPr>
        <w:pStyle w:val="Heading2"/>
      </w:pPr>
      <w:r>
        <w:t xml:space="preserve">1.2 The Long Thesis</w:t>
      </w:r>
    </w:p>
    <w:p>
      <w:pPr>
        <w:pStyle w:val="FirstParagraph"/>
      </w:pPr>
      <w:r>
        <w:t xml:space="preserve">The loan should be owned because carry plus safety plus pull-to-par optionality is a favorable package at this spread. Five pillars support it.</w:t>
      </w:r>
    </w:p>
    <w:p>
      <w:pPr>
        <w:pStyle w:val="BodyText"/>
      </w:pPr>
      <w:r>
        <w:t xml:space="preserve">First, leverage is extraordinarily low for a leveraged loan. Gross debt of roughly $494 million against LTM Adjusted EBITDA near $256 million is about 1.9x, and net of $236 million cash it is roughly 1.0x. The typical single-B first lien sits at 4x to 6x. GoodRx offers a comparable spread at a quarter of the leverage.</w:t>
      </w:r>
    </w:p>
    <w:p>
      <w:pPr>
        <w:pStyle w:val="BodyText"/>
      </w:pPr>
      <w:r>
        <w:t xml:space="preserve">Second, the business throws off cash and needs little to run. It is asset-light with gross margins above 90%, converts revenue to Adjusted EBITDA at roughly 30%, and produces positive free cash flow after the real cost of capitalized software. Cash of $236 million alone covers about six years of interest.</w:t>
      </w:r>
    </w:p>
    <w:p>
      <w:pPr>
        <w:pStyle w:val="BodyText"/>
      </w:pPr>
      <w:r>
        <w:t xml:space="preserve">Third, the structure protects the lender. This is the only debt in the capital structure, first lien on substantially all assets and 100% of the operating company’s equity, with full subsidiary guarantees. There is no bond, no second lien, and nothing structurally ahead of you. Recovery in any realistic downside is high.</w:t>
      </w:r>
    </w:p>
    <w:p>
      <w:pPr>
        <w:pStyle w:val="BodyText"/>
      </w:pPr>
      <w:r>
        <w:t xml:space="preserve">Fourth, there is no near-term maturity. The loan runs to July 2029. The company has three years to stabilize the business, refinance, or be acquired, and it has the liquidity and cash generation to control that timeline rather than have it dictated by a wall.</w:t>
      </w:r>
    </w:p>
    <w:p>
      <w:pPr>
        <w:pStyle w:val="BodyText"/>
      </w:pPr>
      <w:r>
        <w:t xml:space="preserve">Fifth, the trajectory fear is already softening. The equity has recovered to roughly $2.95, up 11% over thirty days and 37% over ninety days. Analysts have raised 2026 EPS estimates about 9% over three months, and GoodRx was upgraded to a Zacks Buy on July 8, 2026. GLP-1 access, manufacturer partnerships, and new subscription products are building a second growth engine. The market’s terminal-decline narrative is being challenged in real time, which is exactly when a money-good loan priced for that narrative re-rates tighter.</w:t>
      </w:r>
    </w:p>
    <w:bookmarkEnd w:id="25"/>
    <w:bookmarkStart w:id="26" w:name="the-bull-and-bear-honestly-stated"/>
    <w:p>
      <w:pPr>
        <w:pStyle w:val="Heading2"/>
      </w:pPr>
      <w:r>
        <w:t xml:space="preserve">1.3 The Bull and Bear, Honestly Stated</w:t>
      </w:r>
    </w:p>
    <w:p>
      <w:pPr>
        <w:pStyle w:val="FirstParagraph"/>
      </w:pPr>
      <w:r>
        <w:rPr>
          <w:bCs/>
          <w:b/>
        </w:rPr>
        <w:t xml:space="preserve">Bull (why you own it).</w:t>
      </w:r>
      <w:r>
        <w:t xml:space="preserve"> </w:t>
      </w:r>
      <w:r>
        <w:t xml:space="preserve">A sub-2x-levered, cash-generative, first-lien-only credit with three years of runway and high recovery is being paid a full single-B spread. You clip roughly 8% carry with positive convexity toward par, and the two scenarios that scare the short, an M&amp;A take-out and a clean refinancing, both pay the long at par. Even a materially worse business services this debt comfortably.</w:t>
      </w:r>
    </w:p>
    <w:p>
      <w:pPr>
        <w:pStyle w:val="BodyText"/>
      </w:pPr>
      <w:r>
        <w:rPr>
          <w:bCs/>
          <w:b/>
        </w:rPr>
        <w:t xml:space="preserve">Bear (what you are accepting).</w:t>
      </w:r>
      <w:r>
        <w:t xml:space="preserve"> </w:t>
      </w:r>
      <w:r>
        <w:t xml:space="preserve">The core high-margin business is declining, Adjusted EBITDA is guided down in 2026, and the replacement revenue is lower quality. If the decline accelerates, the loan can widen on a mark-to-market basis even though it stays money-good. You are accepting some spread volatility and some opportunity cost versus a growing credit, in exchange for a high, well-protected carry. The honest long is a carry-and-recovery trade with pull-to-par optionality, not a bet on a business turnaround.</w:t>
      </w:r>
    </w:p>
    <w:bookmarkEnd w:id="26"/>
    <w:bookmarkStart w:id="27" w:name="X002f5b1e3f387b502b72b8e1e04d4a0726f4af8"/>
    <w:p>
      <w:pPr>
        <w:pStyle w:val="Heading2"/>
      </w:pPr>
      <w:r>
        <w:t xml:space="preserve">1.4 Why Equity and Credit Investors Reach Different Conclusions, and Why That Helps the Long</w:t>
      </w:r>
    </w:p>
    <w:p>
      <w:pPr>
        <w:pStyle w:val="FirstParagraph"/>
      </w:pPr>
      <w:r>
        <w:t xml:space="preserve">Equity and credit look at the same company and see different instruments. Equity sits at the bottom of the stack and is worth the present value of whatever is left after the business declines, so it trades on the trajectory and has fallen more than 80% from the IPO. Credit sits at the top of the stack and is worth par plus coupon as long as the company services and repays the loan, which at 1x net leverage is a low bar. When the equity’s terminal-decline fear bleeds into the loan’s spread, it creates a long-credit opportunity, because the loan does not need the equity story to work. It only needs the company to survive and refinance, which the balance sheet all but guarantees. The recent equity recovery narrows the fear discount and is a tailwind to the loan.</w:t>
      </w:r>
    </w:p>
    <w:bookmarkEnd w:id="27"/>
    <w:bookmarkStart w:id="28" w:name="the-debates-you-are-taking-a-view-on"/>
    <w:p>
      <w:pPr>
        <w:pStyle w:val="Heading2"/>
      </w:pPr>
      <w:r>
        <w:t xml:space="preserve">1.5 The Debates You Are Taking a View On</w:t>
      </w:r>
    </w:p>
    <w:p>
      <w:pPr>
        <w:pStyle w:val="FirstParagraph"/>
      </w:pPr>
      <w:r>
        <w:t xml:space="preserve">By going long you are taking the following side of each debate. Prescription-transaction revenue will find a floor, or even if it does not, the balance sheet absorbs the decline for years. Pharma Direct and subscriptions add enough durable revenue and total addressable market to keep the company cash-generative and refinanceable. TrumpRx is a distribution tailwind for GoodRx as a named partner more than it is an existential threat over the loan’s life. The real free cash flow of the business, while lower than headline EBITDA, comfortably covers interest and amortization. Management’s shareholder-friendly capital allocation is affordable precisely because leverage is so low, and it signals confidence in liquidity. The 2029 maturity refinances or is taken out at par well before it becomes a wall.</w:t>
      </w:r>
    </w:p>
    <w:p>
      <w:r>
        <w:pict>
          <v:rect style="width:0;height:1.5pt" o:hralign="center" o:hrstd="t" o:hr="t"/>
        </w:pict>
      </w:r>
    </w:p>
    <w:bookmarkEnd w:id="28"/>
    <w:bookmarkEnd w:id="29"/>
    <w:bookmarkStart w:id="34" w:name="company-overview"/>
    <w:p>
      <w:pPr>
        <w:pStyle w:val="Heading1"/>
      </w:pPr>
      <w:r>
        <w:t xml:space="preserve">2. Company Overview</w:t>
      </w:r>
    </w:p>
    <w:bookmarkStart w:id="30" w:name="history-and-evolution"/>
    <w:p>
      <w:pPr>
        <w:pStyle w:val="Heading2"/>
      </w:pPr>
      <w:r>
        <w:t xml:space="preserve">2.1 History and Evolution</w:t>
      </w:r>
    </w:p>
    <w:p>
      <w:pPr>
        <w:pStyle w:val="FirstParagraph"/>
      </w:pPr>
      <w:r>
        <w:t xml:space="preserve">GoodRx was founded in 2011 in Santa Monica by Doug Hirsch, Trevor Bezdek, and Scott Marlette. Hirsch, a former Facebook and Yahoo product executive, built the idea after being quoted wildly different cash prices for the same prescription. The insight was that US cash prescription prices are opaque and dispersed because pharmacy benefit managers negotiate different rates with different pharmacies, and a consumer with no insurance or a high deductible has no way to see the lowest price. GoodRx aggregated pricing and discount-card rates into a single free consumer tool and monetized the resulting transaction volume by taking a fee from PBMs when a consumer used a GoodRx code.</w:t>
      </w:r>
    </w:p>
    <w:p>
      <w:pPr>
        <w:pStyle w:val="BodyText"/>
      </w:pPr>
      <w:r>
        <w:t xml:space="preserve">The company scaled quickly, was recapitalized by Silver Lake and Francisco Partners in 2018 (the origin of the debt in today’s structure), and went public in September 2020 at $33 per share, reaching a peak market capitalization above $12 billion. Since then the core discount-card business has matured and, more recently, declined, while the equity has fallen more than 80% from the IPO price. The credit, by contrast, has been steadily de-risked by low leverage and cash generation.</w:t>
      </w:r>
    </w:p>
    <w:bookmarkEnd w:id="30"/>
    <w:bookmarkStart w:id="31" w:name="timeline-of-credit-relevant-events"/>
    <w:p>
      <w:pPr>
        <w:pStyle w:val="Heading2"/>
      </w:pPr>
      <w:r>
        <w:t xml:space="preserve">2.2 Timeline of Credit-Relevant Events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Credit relevance</w:t>
            </w:r>
          </w:p>
        </w:tc>
      </w:tr>
      <w:tr>
        <w:tc>
          <w:tcPr/>
          <w:p>
            <w:pPr>
              <w:pStyle w:val="Compact"/>
              <w:jc w:val="left"/>
            </w:pPr>
            <w:r>
              <w:t xml:space="preserve">2011</w:t>
            </w:r>
          </w:p>
        </w:tc>
        <w:tc>
          <w:tcPr/>
          <w:p>
            <w:pPr>
              <w:pStyle w:val="Compact"/>
              <w:jc w:val="left"/>
            </w:pPr>
            <w:r>
              <w:t xml:space="preserve">Founded in Santa Monica</w:t>
            </w:r>
          </w:p>
        </w:tc>
        <w:tc>
          <w:tcPr/>
          <w:p>
            <w:pPr>
              <w:pStyle w:val="Compact"/>
              <w:jc w:val="left"/>
            </w:pPr>
            <w:r>
              <w:t xml:space="preserve">Origin</w:t>
            </w:r>
          </w:p>
        </w:tc>
      </w:tr>
      <w:tr>
        <w:tc>
          <w:tcPr/>
          <w:p>
            <w:pPr>
              <w:pStyle w:val="Compact"/>
              <w:jc w:val="left"/>
            </w:pPr>
            <w:r>
              <w:t xml:space="preserve">2018</w:t>
            </w:r>
          </w:p>
        </w:tc>
        <w:tc>
          <w:tcPr/>
          <w:p>
            <w:pPr>
              <w:pStyle w:val="Compact"/>
              <w:jc w:val="left"/>
            </w:pPr>
            <w:r>
              <w:t xml:space="preserve">Silver Lake / Francisco Partners recapitalization; original credit agreement Oct 12, 2018</w:t>
            </w:r>
          </w:p>
        </w:tc>
        <w:tc>
          <w:tcPr/>
          <w:p>
            <w:pPr>
              <w:pStyle w:val="Compact"/>
              <w:jc w:val="left"/>
            </w:pPr>
            <w:r>
              <w:t xml:space="preserve">Source of the term-loan structure</w:t>
            </w:r>
          </w:p>
        </w:tc>
      </w:tr>
      <w:tr>
        <w:tc>
          <w:tcPr/>
          <w:p>
            <w:pPr>
              <w:pStyle w:val="Compact"/>
              <w:jc w:val="left"/>
            </w:pPr>
            <w:r>
              <w:t xml:space="preserve">Sep 2020</w:t>
            </w:r>
          </w:p>
        </w:tc>
        <w:tc>
          <w:tcPr/>
          <w:p>
            <w:pPr>
              <w:pStyle w:val="Compact"/>
              <w:jc w:val="left"/>
            </w:pPr>
            <w:r>
              <w:t xml:space="preserve">IPO at $33/share</w:t>
            </w:r>
          </w:p>
        </w:tc>
        <w:tc>
          <w:tcPr/>
          <w:p>
            <w:pPr>
              <w:pStyle w:val="Compact"/>
              <w:jc w:val="left"/>
            </w:pPr>
            <w:r>
              <w:t xml:space="preserve">Peak equity value, large cash cushion raised</w:t>
            </w:r>
          </w:p>
        </w:tc>
      </w:tr>
      <w:tr>
        <w:tc>
          <w:tcPr/>
          <w:p>
            <w:pPr>
              <w:pStyle w:val="Compact"/>
              <w:jc w:val="left"/>
            </w:pPr>
            <w:r>
              <w:t xml:space="preserve">2023</w:t>
            </w:r>
          </w:p>
        </w:tc>
        <w:tc>
          <w:tcPr/>
          <w:p>
            <w:pPr>
              <w:pStyle w:val="Compact"/>
              <w:jc w:val="left"/>
            </w:pPr>
            <w:r>
              <w:t xml:space="preserve">Co-CEO founders step back; Scott Wagner interim CEO; core growth slows</w:t>
            </w:r>
          </w:p>
        </w:tc>
        <w:tc>
          <w:tcPr/>
          <w:p>
            <w:pPr>
              <w:pStyle w:val="Compact"/>
              <w:jc w:val="left"/>
            </w:pPr>
            <w:r>
              <w:t xml:space="preserve">Management transition</w:t>
            </w:r>
          </w:p>
        </w:tc>
      </w:tr>
      <w:tr>
        <w:tc>
          <w:tcPr/>
          <w:p>
            <w:pPr>
              <w:pStyle w:val="Compact"/>
              <w:jc w:val="left"/>
            </w:pPr>
            <w:r>
              <w:t xml:space="preserve">Jul 10, 2024</w:t>
            </w:r>
          </w:p>
        </w:tc>
        <w:tc>
          <w:tcPr/>
          <w:p>
            <w:pPr>
              <w:pStyle w:val="Compact"/>
              <w:jc w:val="left"/>
            </w:pPr>
            <w:r>
              <w:t xml:space="preserve">Sixth Amendment establishes the current $500M 2024 Term Loan due 2029</w:t>
            </w:r>
          </w:p>
        </w:tc>
        <w:tc>
          <w:tcPr/>
          <w:p>
            <w:pPr>
              <w:pStyle w:val="Compact"/>
              <w:jc w:val="left"/>
            </w:pPr>
            <w:r>
              <w:t xml:space="preserve">The instrument being pitched</w:t>
            </w:r>
          </w:p>
        </w:tc>
      </w:tr>
      <w:tr>
        <w:tc>
          <w:tcPr/>
          <w:p>
            <w:pPr>
              <w:pStyle w:val="Compact"/>
              <w:jc w:val="left"/>
            </w:pPr>
            <w:r>
              <w:t xml:space="preserve">Jan 1, 2025</w:t>
            </w:r>
          </w:p>
        </w:tc>
        <w:tc>
          <w:tcPr/>
          <w:p>
            <w:pPr>
              <w:pStyle w:val="Compact"/>
              <w:jc w:val="left"/>
            </w:pPr>
            <w:r>
              <w:t xml:space="preserve">Wendy Barnes (PBM veteran) becomes CEO</w:t>
            </w:r>
          </w:p>
        </w:tc>
        <w:tc>
          <w:tcPr/>
          <w:p>
            <w:pPr>
              <w:pStyle w:val="Compact"/>
              <w:jc w:val="left"/>
            </w:pPr>
            <w:r>
              <w:t xml:space="preserve">Operating credibility</w:t>
            </w:r>
          </w:p>
        </w:tc>
      </w:tr>
      <w:tr>
        <w:tc>
          <w:tcPr/>
          <w:p>
            <w:pPr>
              <w:pStyle w:val="Compact"/>
              <w:jc w:val="left"/>
            </w:pPr>
            <w:r>
              <w:t xml:space="preserve">Feb 2025</w:t>
            </w:r>
          </w:p>
        </w:tc>
        <w:tc>
          <w:tcPr/>
          <w:p>
            <w:pPr>
              <w:pStyle w:val="Compact"/>
              <w:jc w:val="left"/>
            </w:pPr>
            <w:r>
              <w:t xml:space="preserve">Chris McGinnis (PBM veteran) becomes CFO</w:t>
            </w:r>
          </w:p>
        </w:tc>
        <w:tc>
          <w:tcPr/>
          <w:p>
            <w:pPr>
              <w:pStyle w:val="Compact"/>
              <w:jc w:val="left"/>
            </w:pPr>
            <w:r>
              <w:t xml:space="preserve">Financial stewardship</w:t>
            </w:r>
          </w:p>
        </w:tc>
      </w:tr>
      <w:tr>
        <w:tc>
          <w:tcPr/>
          <w:p>
            <w:pPr>
              <w:pStyle w:val="Compact"/>
              <w:jc w:val="left"/>
            </w:pPr>
            <w:r>
              <w:t xml:space="preserve">2025</w:t>
            </w:r>
          </w:p>
        </w:tc>
        <w:tc>
          <w:tcPr/>
          <w:p>
            <w:pPr>
              <w:pStyle w:val="Compact"/>
              <w:jc w:val="left"/>
            </w:pPr>
            <w:r>
              <w:t xml:space="preserve">Core prescription-transaction revenue turns to year-over-year decline</w:t>
            </w:r>
          </w:p>
        </w:tc>
        <w:tc>
          <w:tcPr/>
          <w:p>
            <w:pPr>
              <w:pStyle w:val="Compact"/>
              <w:jc w:val="left"/>
            </w:pPr>
            <w:r>
              <w:t xml:space="preserve">The bear driver</w:t>
            </w:r>
          </w:p>
        </w:tc>
      </w:tr>
      <w:tr>
        <w:tc>
          <w:tcPr/>
          <w:p>
            <w:pPr>
              <w:pStyle w:val="Compact"/>
              <w:jc w:val="left"/>
            </w:pPr>
            <w:r>
              <w:t xml:space="preserve">Feb 5, 2026</w:t>
            </w:r>
          </w:p>
        </w:tc>
        <w:tc>
          <w:tcPr/>
          <w:p>
            <w:pPr>
              <w:pStyle w:val="Compact"/>
              <w:jc w:val="left"/>
            </w:pPr>
            <w:r>
              <w:t xml:space="preserve">TrumpRx.gov launches; GoodRx later named a partner</w:t>
            </w:r>
          </w:p>
        </w:tc>
        <w:tc>
          <w:tcPr/>
          <w:p>
            <w:pPr>
              <w:pStyle w:val="Compact"/>
              <w:jc w:val="left"/>
            </w:pPr>
            <w:r>
              <w:t xml:space="preserve">Distribution channel and policy overhang</w:t>
            </w:r>
          </w:p>
        </w:tc>
      </w:tr>
      <w:tr>
        <w:tc>
          <w:tcPr/>
          <w:p>
            <w:pPr>
              <w:pStyle w:val="Compact"/>
              <w:jc w:val="left"/>
            </w:pPr>
            <w:r>
              <w:t xml:space="preserve">May 6, 2026</w:t>
            </w:r>
          </w:p>
        </w:tc>
        <w:tc>
          <w:tcPr/>
          <w:p>
            <w:pPr>
              <w:pStyle w:val="Compact"/>
              <w:jc w:val="left"/>
            </w:pPr>
            <w:r>
              <w:t xml:space="preserve">Q1 2026 results: revenue -4%, transactions -24%, Pharma Direct +82%, guidance raised</w:t>
            </w:r>
          </w:p>
        </w:tc>
        <w:tc>
          <w:tcPr/>
          <w:p>
            <w:pPr>
              <w:pStyle w:val="Compact"/>
              <w:jc w:val="left"/>
            </w:pPr>
            <w:r>
              <w:t xml:space="preserve">Mixed, but guidance raised</w:t>
            </w:r>
          </w:p>
        </w:tc>
      </w:tr>
      <w:tr>
        <w:tc>
          <w:tcPr/>
          <w:p>
            <w:pPr>
              <w:pStyle w:val="Compact"/>
              <w:jc w:val="left"/>
            </w:pPr>
            <w:r>
              <w:t xml:space="preserve">Jul 8, 2026</w:t>
            </w:r>
          </w:p>
        </w:tc>
        <w:tc>
          <w:tcPr/>
          <w:p>
            <w:pPr>
              <w:pStyle w:val="Compact"/>
              <w:jc w:val="left"/>
            </w:pPr>
            <w:r>
              <w:t xml:space="preserve">Equity upgraded to Zacks Buy; estimates revised up</w:t>
            </w:r>
          </w:p>
        </w:tc>
        <w:tc>
          <w:tcPr/>
          <w:p>
            <w:pPr>
              <w:pStyle w:val="Compact"/>
              <w:jc w:val="left"/>
            </w:pPr>
            <w:r>
              <w:t xml:space="preserve">Improving sentiment</w:t>
            </w:r>
          </w:p>
        </w:tc>
      </w:tr>
      <w:tr>
        <w:tc>
          <w:tcPr/>
          <w:p>
            <w:pPr>
              <w:pStyle w:val="Compact"/>
              <w:jc w:val="left"/>
            </w:pPr>
            <w:r>
              <w:t xml:space="preserve">Aug 5, 2026</w:t>
            </w:r>
          </w:p>
        </w:tc>
        <w:tc>
          <w:tcPr/>
          <w:p>
            <w:pPr>
              <w:pStyle w:val="Compact"/>
              <w:jc w:val="left"/>
            </w:pPr>
            <w:r>
              <w:t xml:space="preserve">Q2 2026 results scheduled</w:t>
            </w:r>
          </w:p>
        </w:tc>
        <w:tc>
          <w:tcPr/>
          <w:p>
            <w:pPr>
              <w:pStyle w:val="Compact"/>
              <w:jc w:val="left"/>
            </w:pPr>
            <w:r>
              <w:t xml:space="preserve">Next catalyst</w:t>
            </w:r>
          </w:p>
        </w:tc>
      </w:tr>
    </w:tbl>
    <w:bookmarkEnd w:id="31"/>
    <w:bookmarkStart w:id="32" w:name="management-strategy-and-positioning"/>
    <w:p>
      <w:pPr>
        <w:pStyle w:val="Heading2"/>
      </w:pPr>
      <w:r>
        <w:t xml:space="preserve">2.3 Management, Strategy, and Positioning</w:t>
      </w:r>
    </w:p>
    <w:p>
      <w:pPr>
        <w:pStyle w:val="FirstParagraph"/>
      </w:pPr>
      <w:r>
        <w:t xml:space="preserve">CEO Wendy Barnes (since January 2025) is a genuine pharmacy-supply-chain operator, formerly CEO of RxBenefits and President of Express Scripts Pharmacy. CFO Chris McGinnis (since February 2025) ran CitizensRx, a PBM. This is a management team that understands the reimbursement plumbing GoodRx sits inside, which matters for both the pivot to manufacturer-facing revenue and for refinancing credibility. The founders retain control through a dual-class structure (Class B carries ten votes), so strategy is stable and not subject to activist disruption.</w:t>
      </w:r>
    </w:p>
    <w:p>
      <w:pPr>
        <w:pStyle w:val="BodyText"/>
      </w:pPr>
      <w:r>
        <w:t xml:space="preserve">Strategically the company is diversifying away from pure discount-card transactions toward manufacturer-funded programs (Pharma Direct), subscriptions, and GLP-1 access. For a lender, the important point is not whether this restores growth but that it broadens the revenue base and the total addressable market, which supports the durability and refinanceability the loan depends on.</w:t>
      </w:r>
    </w:p>
    <w:bookmarkEnd w:id="32"/>
    <w:bookmarkStart w:id="33" w:name="revenue-mix"/>
    <w:p>
      <w:pPr>
        <w:pStyle w:val="Heading2"/>
      </w:pPr>
      <w:r>
        <w:t xml:space="preserve">2.4 Revenue Mix</w:t>
      </w:r>
    </w:p>
    <w:p>
      <w:pPr>
        <w:pStyle w:val="FirstParagraph"/>
      </w:pPr>
      <w:r>
        <w:t xml:space="preserve">Revenue is roughly 59% prescription transactions (declining), about 27% Pharma Direct (growing fast), about 13% subscriptions (growing steadily), and a small remainder of other. A year ago transactions were roughly 73% of revenue, so the mix is shifting toward manufacturer-funded and recurring streams. The long view is that a more diversified, lower-concentration revenue base is a more refinanceable one, even if the blended margin is lower.</w:t>
      </w:r>
    </w:p>
    <w:p>
      <w:r>
        <w:pict>
          <v:rect style="width:0;height:1.5pt" o:hralign="center" o:hrstd="t" o:hr="t"/>
        </w:pict>
      </w:r>
    </w:p>
    <w:bookmarkEnd w:id="33"/>
    <w:bookmarkEnd w:id="34"/>
    <w:bookmarkStart w:id="38" w:name="business-segments"/>
    <w:p>
      <w:pPr>
        <w:pStyle w:val="Heading1"/>
      </w:pPr>
      <w:r>
        <w:t xml:space="preserve">3. Business Segments</w:t>
      </w:r>
    </w:p>
    <w:bookmarkStart w:id="35" w:name="X1ed2013c4778e3bcac71f8db9d190c5c5829f80"/>
    <w:p>
      <w:pPr>
        <w:pStyle w:val="Heading2"/>
      </w:pPr>
      <w:r>
        <w:t xml:space="preserve">3.1 Prescription Transactions (the declining core, but still the cash spine)</w:t>
      </w:r>
    </w:p>
    <w:p>
      <w:pPr>
        <w:pStyle w:val="FirstParagraph"/>
      </w:pPr>
      <w:r>
        <w:t xml:space="preserve">This is the original business. A consumer searches a drug, GoodRx surfaces the lowest local cash price and a discount code, and when the code is used GoodRx earns a fee from the PBM administering that discount. It is high margin and asset-light. In Q1 2026 it generated $113.7 million of revenue, down 24% year over year, with Monthly Active Consumers of 5.3 million, down from 6.4 million.</w:t>
      </w:r>
    </w:p>
    <w:p>
      <w:pPr>
        <w:pStyle w:val="BodyText"/>
      </w:pPr>
      <w:r>
        <w:t xml:space="preserve">The decline is real and driven by retail pharmacy closures (Rite Aid bankruptcy and chain footprint reduction), PBM reimbursement renegotiation, and the loss of volume in one integrated savings program. For the long, the point is not to deny the decline but to size it against the balance sheet. Even substantially reduced, this segment remains a large, high-margin cash contributor, and it is only one part of a revenue base that the company is actively broadening. A declining high-margin annuity attached to a 1x-levered balance sheet is still a powerful debt-service engine.</w:t>
      </w:r>
    </w:p>
    <w:bookmarkEnd w:id="35"/>
    <w:bookmarkStart w:id="36" w:name="pharma-direct-the-growth-engine"/>
    <w:p>
      <w:pPr>
        <w:pStyle w:val="Heading2"/>
      </w:pPr>
      <w:r>
        <w:t xml:space="preserve">3.2 Pharma Direct (the growth engine)</w:t>
      </w:r>
    </w:p>
    <w:p>
      <w:pPr>
        <w:pStyle w:val="FirstParagraph"/>
      </w:pPr>
      <w:r>
        <w:t xml:space="preserve">Pharma Direct is the manufacturer-facing segment: advertising, integration, and increasingly consumer direct pricing, where manufacturers fund discounted cash prices for branded drugs delivered through GoodRx at the pharmacy counter. It grew 82% year over year to $52.2 million in Q1 2026 and is the fastest-growing part of the company.</w:t>
      </w:r>
    </w:p>
    <w:p>
      <w:pPr>
        <w:pStyle w:val="BodyText"/>
      </w:pPr>
      <w:r>
        <w:t xml:space="preserve">The short case correctly notes this revenue is lower margin and working-capital heavier than legacy transactions. The long case accepts that and focuses on three things. It is growing fast enough to materially offset the core decline in absolute revenue. It aligns GoodRx with the manufacturers who are the durable funders of drug affordability under political pressure. And it is precisely the vehicle capturing the GLP-1 wave, with recent additions including Novo Nordisk’s oral Ozempic, Eli Lilly’s oral orforglipron (Foundayo) and Zepbound KwikPen, Wegovy HD, and a 17-brand Viatris collaboration. This is a credible second engine, and for a lender it broadens and lengthens the revenue runway that supports refinancing.</w:t>
      </w:r>
    </w:p>
    <w:bookmarkEnd w:id="36"/>
    <w:bookmarkStart w:id="37" w:name="subscription-the-recurring-sticky-layer"/>
    <w:p>
      <w:pPr>
        <w:pStyle w:val="Heading2"/>
      </w:pPr>
      <w:r>
        <w:t xml:space="preserve">3.3 Subscription (the recurring, sticky layer)</w:t>
      </w:r>
    </w:p>
    <w:p>
      <w:pPr>
        <w:pStyle w:val="FirstParagraph"/>
      </w:pPr>
      <w:r>
        <w:t xml:space="preserve">Subscriptions (GoodRx Gold, condition-specific programs, RxSmartSaver+, and the newly launched GoodRx Companion at $14.99 per month) grew 16% year over year to $24.4 million, with subscription plans rising to roughly 717,000. This is the highest-quality revenue in the company from a credit standpoint, being recurring and sticky. It is small today but growing, and it adds exactly the kind of predictable cash flow that supports debt service and a clean refinancing.</w:t>
      </w:r>
    </w:p>
    <w:p>
      <w:r>
        <w:pict>
          <v:rect style="width:0;height:1.5pt" o:hralign="center" o:hrstd="t" o:hr="t"/>
        </w:pict>
      </w:r>
    </w:p>
    <w:bookmarkEnd w:id="37"/>
    <w:bookmarkEnd w:id="38"/>
    <w:bookmarkStart w:id="39" w:name="X555072a1042c042eb9b9fc2b58ff03a84572f6d"/>
    <w:p>
      <w:pPr>
        <w:pStyle w:val="Heading1"/>
      </w:pPr>
      <w:r>
        <w:t xml:space="preserve">4. Business Model: How GoodRx Makes Money and Why It Services Debt Easily</w:t>
      </w:r>
    </w:p>
    <w:p>
      <w:pPr>
        <w:pStyle w:val="FirstParagraph"/>
      </w:pPr>
      <w:r>
        <w:t xml:space="preserve">GoodRx is a two-sided marketplace with almost no cost of goods. On the consumer side the product is free, which drives reach (nearly 25 million consumers). On the monetization side it earns fees from PBMs on transactions, fees and advertising from manufacturers in Pharma Direct, and recurring fees from subscribers. Because the platform is software, incremental revenue drops through at very high gross margin (above 90%).</w:t>
      </w:r>
    </w:p>
    <w:p>
      <w:pPr>
        <w:pStyle w:val="BodyText"/>
      </w:pPr>
      <w:r>
        <w:t xml:space="preserve">For a lender the model has three attractive features. It requires little capital to operate, so cash generation is high relative to reported profit once you account for capitalized software. It has no inventory, receivables concentration risk of the classic kind, or heavy fixed-asset base to impair in a downturn. And its costs (sales and marketing, product development) are substantially discretionary, so in a stress scenario management can protect cash flow by pulling back on growth spend. A business that can defend its cash flow by choice is a business that can keep servicing 1x-levered debt.</w:t>
      </w:r>
    </w:p>
    <w:p>
      <w:pPr>
        <w:pStyle w:val="BodyText"/>
      </w:pPr>
      <w:r>
        <w:t xml:space="preserve">The one honest qualifier is earnings quality. Headline Adjusted EBITDA of roughly $256 million converts to free cash flow nearer $80 million after capitalized software (about $80 million per year) and cash interest (about $39 million). That is still positive and still covers all debt service with room, but a long investor should underwrite the loan on free cash flow, not on the EBITDA multiple, and on that honest number the loan is comfortably covered.</w:t>
      </w:r>
    </w:p>
    <w:p>
      <w:r>
        <w:pict>
          <v:rect style="width:0;height:1.5pt" o:hralign="center" o:hrstd="t" o:hr="t"/>
        </w:pict>
      </w:r>
    </w:p>
    <w:bookmarkEnd w:id="39"/>
    <w:bookmarkStart w:id="40" w:name="X31a1e4564bba27430ede10cc3e478e8bf41d146"/>
    <w:p>
      <w:pPr>
        <w:pStyle w:val="Heading1"/>
      </w:pPr>
      <w:r>
        <w:t xml:space="preserve">5. Strategic Shift: Why the Mix Change Supports the Credit</w:t>
      </w:r>
    </w:p>
    <w:p>
      <w:pPr>
        <w:pStyle w:val="FirstParagraph"/>
      </w:pPr>
      <w:r>
        <w:t xml:space="preserve">The company is deliberately trading some high-margin transaction revenue for a broader base of manufacturer-funded and recurring revenue. The short reads this as quality erosion. The long reads it as durability purchased at the cost of margin.</w:t>
      </w:r>
    </w:p>
    <w:p>
      <w:pPr>
        <w:pStyle w:val="BodyText"/>
      </w:pPr>
      <w:r>
        <w:t xml:space="preserve">Both are partly right, and for a creditor the durability matters more than the margin. A lender does not get paid extra for high margins. A lender gets paid back when the business is durable enough to service and refinance debt. A more diversified GoodRx, with manufacturer relationships, GLP-1 exposure, and a growing subscription annuity, is a more refinanceable GoodRx in 2028 than a company wholly dependent on a single declining discount-card stream would have been. The strategic shift lengthens the runway that the loan is secured against.</w:t>
      </w:r>
    </w:p>
    <w:p>
      <w:r>
        <w:pict>
          <v:rect style="width:0;height:1.5pt" o:hralign="center" o:hrstd="t" o:hr="t"/>
        </w:pict>
      </w:r>
    </w:p>
    <w:bookmarkEnd w:id="40"/>
    <w:bookmarkStart w:id="44" w:name="industry-analysis"/>
    <w:p>
      <w:pPr>
        <w:pStyle w:val="Heading1"/>
      </w:pPr>
      <w:r>
        <w:t xml:space="preserve">6. Industry Analysis</w:t>
      </w:r>
    </w:p>
    <w:bookmarkStart w:id="41" w:name="X5ce322714f89e339e0952d00a5693b74e126118"/>
    <w:p>
      <w:pPr>
        <w:pStyle w:val="Heading2"/>
      </w:pPr>
      <w:r>
        <w:t xml:space="preserve">6.1 Industry Size and the Long-Runway Argument</w:t>
      </w:r>
    </w:p>
    <w:p>
      <w:pPr>
        <w:pStyle w:val="FirstParagraph"/>
      </w:pPr>
      <w:r>
        <w:t xml:space="preserve">GoodRx sits at the intersection of three large pools: US prescription drug spending (well over $600 billion annually at the point of sale), the prescription-discount and cash-pay niche within it, and the broader digital-health market (estimated at roughly $319 billion to $334 billion globally in 2025). Even as the discount-card niche matures, the manufacturer-funded affordability and GLP-1 channels are large and growing. The addressable market around GoodRx is not shrinking in aggregate, it is shifting, and the company is repositioning toward the growing parts.</w:t>
      </w:r>
    </w:p>
    <w:bookmarkEnd w:id="41"/>
    <w:bookmarkStart w:id="42" w:name="growth-drivers"/>
    <w:p>
      <w:pPr>
        <w:pStyle w:val="Heading2"/>
      </w:pPr>
      <w:r>
        <w:t xml:space="preserve">6.2 Growth Drivers</w:t>
      </w:r>
    </w:p>
    <w:p>
      <w:pPr>
        <w:pStyle w:val="FirstParagraph"/>
      </w:pPr>
      <w:r>
        <w:t xml:space="preserve">Structural drivers include high and rising US list prices, growth in high-deductible plans that expose consumers to cash prices, the surge in high-cost categories (GLP-1 fills more than doubled in 2024), and a policy environment demanding price transparency. These are genuine tailwinds for the category. For GoodRx specifically, the GLP-1 and manufacturer-direct wave is landing in Pharma Direct now, which is why that segment is compounding at 82%.</w:t>
      </w:r>
    </w:p>
    <w:bookmarkEnd w:id="42"/>
    <w:bookmarkStart w:id="43" w:name="industry-structure-and-dependency"/>
    <w:p>
      <w:pPr>
        <w:pStyle w:val="Heading2"/>
      </w:pPr>
      <w:r>
        <w:t xml:space="preserve">6.3 Industry Structure and Dependency</w:t>
      </w:r>
    </w:p>
    <w:p>
      <w:pPr>
        <w:pStyle w:val="FirstParagraph"/>
      </w:pPr>
      <w:r>
        <w:t xml:space="preserve">The structure is defined by PBM concentration. Three PBMs control the large majority of US prescription volume, and GoodRx depends on these same entities as suppliers, customers, and competitors. This concentration is a risk to margins, but it is also a stabilizer, because GoodRx is deeply integrated into that reimbursement plumbing through its integrated savings programs, and integration creates switching friction on the institutional side even where consumer switching costs are low. A management team drawn from PBMs is well placed to defend those relationships.</w:t>
      </w:r>
    </w:p>
    <w:p>
      <w:r>
        <w:pict>
          <v:rect style="width:0;height:1.5pt" o:hralign="center" o:hrstd="t" o:hr="t"/>
        </w:pict>
      </w:r>
    </w:p>
    <w:bookmarkEnd w:id="43"/>
    <w:bookmarkEnd w:id="44"/>
    <w:bookmarkStart w:id="45" w:name="trumprx-analysis-long-lens"/>
    <w:p>
      <w:pPr>
        <w:pStyle w:val="Heading1"/>
      </w:pPr>
      <w:r>
        <w:t xml:space="preserve">7. TrumpRx Analysis (Long Lens)</w:t>
      </w:r>
    </w:p>
    <w:p>
      <w:pPr>
        <w:pStyle w:val="FirstParagraph"/>
      </w:pPr>
      <w:r>
        <w:t xml:space="preserve">TrumpRx.gov launched February 5, 2026 and expanded through 2026 to aggregate hundreds of discounted drugs, with GoodRx named as a distribution partner alongside Amazon Pharmacy and Cost Plus Drugs. The short case frames the portal as commoditizing GoodRx’s core price-transparency value. The long case weighs that against three points.</w:t>
      </w:r>
    </w:p>
    <w:p>
      <w:pPr>
        <w:pStyle w:val="BodyText"/>
      </w:pPr>
      <w:r>
        <w:t xml:space="preserve">First, GoodRx is a partner, not a casualty. Being inside the government’s affordability channel is a distribution tailwind, especially for Pharma Direct volume, and it validates GoodRx’s infrastructure rather than routing around it.</w:t>
      </w:r>
    </w:p>
    <w:p>
      <w:pPr>
        <w:pStyle w:val="BodyText"/>
      </w:pPr>
      <w:r>
        <w:t xml:space="preserve">Second, the timeline matters for a creditor. Any commoditization of the legacy transaction pool is gradual and plays out over years, while the loan matures in 2029 and is money-good long before any worst-case policy scenario could fully develop. A slow structural headwind is a manageable risk for a 1x-levered, three-year credit.</w:t>
      </w:r>
    </w:p>
    <w:p>
      <w:pPr>
        <w:pStyle w:val="BodyText"/>
      </w:pPr>
      <w:r>
        <w:t xml:space="preserve">Third, the policy direction (manufacturer-funded affordability, direct-to-consumer branded pricing) feeds the exact segment GoodRx is growing into. On balance, for the life of this loan, TrumpRx is at least as much tailwind as threat, and the loan’s spread already more than compensates for the uncertainty.</w:t>
      </w:r>
    </w:p>
    <w:p>
      <w:r>
        <w:pict>
          <v:rect style="width:0;height:1.5pt" o:hralign="center" o:hrstd="t" o:hr="t"/>
        </w:pict>
      </w:r>
    </w:p>
    <w:bookmarkEnd w:id="45"/>
    <w:bookmarkStart w:id="46" w:name="competitive-landscape-head-to-head"/>
    <w:p>
      <w:pPr>
        <w:pStyle w:val="Heading1"/>
      </w:pPr>
      <w:r>
        <w:t xml:space="preserve">8. Competitive Landscape (Head-to-Head)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Competitor</w:t>
            </w:r>
          </w:p>
        </w:tc>
        <w:tc>
          <w:tcPr/>
          <w:p>
            <w:pPr>
              <w:pStyle w:val="Compact"/>
              <w:jc w:val="left"/>
            </w:pPr>
            <w:r>
              <w:t xml:space="preserve">Model</w:t>
            </w:r>
          </w:p>
        </w:tc>
        <w:tc>
          <w:tcPr/>
          <w:p>
            <w:pPr>
              <w:pStyle w:val="Compact"/>
              <w:jc w:val="left"/>
            </w:pPr>
            <w:r>
              <w:t xml:space="preserve">Threat level to GoodRx</w:t>
            </w:r>
          </w:p>
        </w:tc>
        <w:tc>
          <w:tcPr/>
          <w:p>
            <w:pPr>
              <w:pStyle w:val="Compact"/>
              <w:jc w:val="left"/>
            </w:pPr>
            <w:r>
              <w:t xml:space="preserve">Long-credit read</w:t>
            </w:r>
          </w:p>
        </w:tc>
      </w:tr>
      <w:tr>
        <w:tc>
          <w:tcPr/>
          <w:p>
            <w:pPr>
              <w:pStyle w:val="Compact"/>
              <w:jc w:val="left"/>
            </w:pPr>
            <w:r>
              <w:t xml:space="preserve">SingleCare</w:t>
            </w:r>
          </w:p>
        </w:tc>
        <w:tc>
          <w:tcPr/>
          <w:p>
            <w:pPr>
              <w:pStyle w:val="Compact"/>
              <w:jc w:val="left"/>
            </w:pPr>
            <w:r>
              <w:t xml:space="preserve">Free discount card, ~35k pharmacies</w:t>
            </w:r>
          </w:p>
        </w:tc>
        <w:tc>
          <w:tcPr/>
          <w:p>
            <w:pPr>
              <w:pStyle w:val="Compact"/>
              <w:jc w:val="left"/>
            </w:pPr>
            <w:r>
              <w:t xml:space="preserve">High on price for specific generics</w:t>
            </w:r>
          </w:p>
        </w:tc>
        <w:tc>
          <w:tcPr/>
          <w:p>
            <w:pPr>
              <w:pStyle w:val="Compact"/>
              <w:jc w:val="left"/>
            </w:pPr>
            <w:r>
              <w:t xml:space="preserve">Real competition, but GoodRx leads on network breadth and brand</w:t>
            </w:r>
          </w:p>
        </w:tc>
      </w:tr>
      <w:tr>
        <w:tc>
          <w:tcPr/>
          <w:p>
            <w:pPr>
              <w:pStyle w:val="Compact"/>
              <w:jc w:val="left"/>
            </w:pPr>
            <w:r>
              <w:t xml:space="preserve">Blink Health</w:t>
            </w:r>
          </w:p>
        </w:tc>
        <w:tc>
          <w:tcPr/>
          <w:p>
            <w:pPr>
              <w:pStyle w:val="Compact"/>
              <w:jc w:val="left"/>
            </w:pPr>
            <w:r>
              <w:t xml:space="preserve">Pre-pay / mail</w:t>
            </w:r>
          </w:p>
        </w:tc>
        <w:tc>
          <w:tcPr/>
          <w:p>
            <w:pPr>
              <w:pStyle w:val="Compact"/>
              <w:jc w:val="left"/>
            </w:pPr>
            <w:r>
              <w:t xml:space="preserve">Moderate</w:t>
            </w:r>
          </w:p>
        </w:tc>
        <w:tc>
          <w:tcPr/>
          <w:p>
            <w:pPr>
              <w:pStyle w:val="Compact"/>
              <w:jc w:val="left"/>
            </w:pPr>
            <w:r>
              <w:t xml:space="preserve">Niche, not a balance-sheet threat</w:t>
            </w:r>
          </w:p>
        </w:tc>
      </w:tr>
      <w:tr>
        <w:tc>
          <w:tcPr/>
          <w:p>
            <w:pPr>
              <w:pStyle w:val="Compact"/>
              <w:jc w:val="left"/>
            </w:pPr>
            <w:r>
              <w:t xml:space="preserve">Amazon Pharmacy / RxPass</w:t>
            </w:r>
          </w:p>
        </w:tc>
        <w:tc>
          <w:tcPr/>
          <w:p>
            <w:pPr>
              <w:pStyle w:val="Compact"/>
              <w:jc w:val="left"/>
            </w:pPr>
            <w:r>
              <w:t xml:space="preserve">$5/mo flat generics</w:t>
            </w:r>
          </w:p>
        </w:tc>
        <w:tc>
          <w:tcPr/>
          <w:p>
            <w:pPr>
              <w:pStyle w:val="Compact"/>
              <w:jc w:val="left"/>
            </w:pPr>
            <w:r>
              <w:t xml:space="preserve">Moderate and growing</w:t>
            </w:r>
          </w:p>
        </w:tc>
        <w:tc>
          <w:tcPr/>
          <w:p>
            <w:pPr>
              <w:pStyle w:val="Compact"/>
              <w:jc w:val="left"/>
            </w:pPr>
            <w:r>
              <w:t xml:space="preserve">Pressures generics, less so branded and manufacturer-funded</w:t>
            </w:r>
          </w:p>
        </w:tc>
      </w:tr>
      <w:tr>
        <w:tc>
          <w:tcPr/>
          <w:p>
            <w:pPr>
              <w:pStyle w:val="Compact"/>
              <w:jc w:val="left"/>
            </w:pPr>
            <w:r>
              <w:t xml:space="preserve">Mark Cuban Cost Plus</w:t>
            </w:r>
          </w:p>
        </w:tc>
        <w:tc>
          <w:tcPr/>
          <w:p>
            <w:pPr>
              <w:pStyle w:val="Compact"/>
              <w:jc w:val="left"/>
            </w:pPr>
            <w:r>
              <w:t xml:space="preserve">Cost plus 15%</w:t>
            </w:r>
          </w:p>
        </w:tc>
        <w:tc>
          <w:tcPr/>
          <w:p>
            <w:pPr>
              <w:pStyle w:val="Compact"/>
              <w:jc w:val="left"/>
            </w:pPr>
            <w:r>
              <w:t xml:space="preserve">Moderate</w:t>
            </w:r>
          </w:p>
        </w:tc>
        <w:tc>
          <w:tcPr/>
          <w:p>
            <w:pPr>
              <w:pStyle w:val="Compact"/>
              <w:jc w:val="left"/>
            </w:pPr>
            <w:r>
              <w:t xml:space="preserve">Transparency ally in branded, competitor in generics</w:t>
            </w:r>
          </w:p>
        </w:tc>
      </w:tr>
      <w:tr>
        <w:tc>
          <w:tcPr/>
          <w:p>
            <w:pPr>
              <w:pStyle w:val="Compact"/>
              <w:jc w:val="left"/>
            </w:pPr>
            <w:r>
              <w:t xml:space="preserve">PBM in-house programs</w:t>
            </w:r>
          </w:p>
        </w:tc>
        <w:tc>
          <w:tcPr/>
          <w:p>
            <w:pPr>
              <w:pStyle w:val="Compact"/>
              <w:jc w:val="left"/>
            </w:pPr>
            <w:r>
              <w:t xml:space="preserve">Payer-owned</w:t>
            </w:r>
          </w:p>
        </w:tc>
        <w:tc>
          <w:tcPr/>
          <w:p>
            <w:pPr>
              <w:pStyle w:val="Compact"/>
              <w:jc w:val="left"/>
            </w:pPr>
            <w:r>
              <w:t xml:space="preserve">Structural</w:t>
            </w:r>
          </w:p>
        </w:tc>
        <w:tc>
          <w:tcPr/>
          <w:p>
            <w:pPr>
              <w:pStyle w:val="Compact"/>
              <w:jc w:val="left"/>
            </w:pPr>
            <w:r>
              <w:t xml:space="preserve">GoodRx integrates with rather than only competes</w:t>
            </w:r>
          </w:p>
        </w:tc>
      </w:tr>
    </w:tbl>
    <w:p>
      <w:pPr>
        <w:pStyle w:val="BodyText"/>
      </w:pPr>
      <w:r>
        <w:t xml:space="preserve">GoodRx’s roughly 70,000-pharmacy network and brand leadership are durable competitive assets even in a commoditizing category. Zero consumer switching costs cap pricing power, which is a margin story, not a solvency story. For a creditor, the relevant fact is that GoodRx remains the category leader with the broadest network and nearly 25 million consumers, which is more than enough franchise value to underwrite a 1x-levered first lien.</w:t>
      </w:r>
    </w:p>
    <w:p>
      <w:r>
        <w:pict>
          <v:rect style="width:0;height:1.5pt" o:hralign="center" o:hrstd="t" o:hr="t"/>
        </w:pict>
      </w:r>
    </w:p>
    <w:bookmarkEnd w:id="46"/>
    <w:bookmarkStart w:id="52" w:name="financial-analysis-credit-safety-lens"/>
    <w:p>
      <w:pPr>
        <w:pStyle w:val="Heading1"/>
      </w:pPr>
      <w:r>
        <w:t xml:space="preserve">9. Financial Analysis (Credit-Safety Lens)</w:t>
      </w:r>
    </w:p>
    <w:bookmarkStart w:id="47" w:name="q1-2026-income-statement-walk"/>
    <w:p>
      <w:pPr>
        <w:pStyle w:val="Heading2"/>
      </w:pPr>
      <w:r>
        <w:t xml:space="preserve">9.1 Q1 2026 Income Statement Walk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Line</w:t>
            </w:r>
          </w:p>
        </w:tc>
        <w:tc>
          <w:tcPr/>
          <w:p>
            <w:pPr>
              <w:pStyle w:val="Compact"/>
              <w:jc w:val="left"/>
            </w:pPr>
            <w:r>
              <w:t xml:space="preserve">Q1 2026</w:t>
            </w:r>
          </w:p>
        </w:tc>
        <w:tc>
          <w:tcPr/>
          <w:p>
            <w:pPr>
              <w:pStyle w:val="Compact"/>
              <w:jc w:val="left"/>
            </w:pPr>
            <w:r>
              <w:t xml:space="preserve">Comment</w:t>
            </w:r>
          </w:p>
        </w:tc>
      </w:tr>
      <w:tr>
        <w:tc>
          <w:tcPr/>
          <w:p>
            <w:pPr>
              <w:pStyle w:val="Compact"/>
              <w:jc w:val="left"/>
            </w:pPr>
            <w:r>
              <w:t xml:space="preserve">Revenue</w:t>
            </w:r>
          </w:p>
        </w:tc>
        <w:tc>
          <w:tcPr/>
          <w:p>
            <w:pPr>
              <w:pStyle w:val="Compact"/>
              <w:jc w:val="left"/>
            </w:pPr>
            <w:r>
              <w:t xml:space="preserve">$194.0M</w:t>
            </w:r>
          </w:p>
        </w:tc>
        <w:tc>
          <w:tcPr/>
          <w:p>
            <w:pPr>
              <w:pStyle w:val="Compact"/>
              <w:jc w:val="left"/>
            </w:pPr>
            <w:r>
              <w:t xml:space="preserve">-4% YoY, cushioned by Pharma Direct and subscriptions</w:t>
            </w:r>
          </w:p>
        </w:tc>
      </w:tr>
      <w:tr>
        <w:tc>
          <w:tcPr/>
          <w:p>
            <w:pPr>
              <w:pStyle w:val="Compact"/>
              <w:jc w:val="left"/>
            </w:pPr>
            <w:r>
              <w:t xml:space="preserve">Prescription transactions</w:t>
            </w:r>
          </w:p>
        </w:tc>
        <w:tc>
          <w:tcPr/>
          <w:p>
            <w:pPr>
              <w:pStyle w:val="Compact"/>
              <w:jc w:val="left"/>
            </w:pPr>
            <w:r>
              <w:t xml:space="preserve">$113.7M</w:t>
            </w:r>
          </w:p>
        </w:tc>
        <w:tc>
          <w:tcPr/>
          <w:p>
            <w:pPr>
              <w:pStyle w:val="Compact"/>
              <w:jc w:val="left"/>
            </w:pPr>
            <w:r>
              <w:t xml:space="preserve">-24% YoY, the decline</w:t>
            </w:r>
          </w:p>
        </w:tc>
      </w:tr>
      <w:tr>
        <w:tc>
          <w:tcPr/>
          <w:p>
            <w:pPr>
              <w:pStyle w:val="Compact"/>
              <w:jc w:val="left"/>
            </w:pPr>
            <w:r>
              <w:t xml:space="preserve">Pharma Direct</w:t>
            </w:r>
          </w:p>
        </w:tc>
        <w:tc>
          <w:tcPr/>
          <w:p>
            <w:pPr>
              <w:pStyle w:val="Compact"/>
              <w:jc w:val="left"/>
            </w:pPr>
            <w:r>
              <w:t xml:space="preserve">$52.2M</w:t>
            </w:r>
          </w:p>
        </w:tc>
        <w:tc>
          <w:tcPr/>
          <w:p>
            <w:pPr>
              <w:pStyle w:val="Compact"/>
              <w:jc w:val="left"/>
            </w:pPr>
            <w:r>
              <w:t xml:space="preserve">+82% YoY, the offset</w:t>
            </w:r>
          </w:p>
        </w:tc>
      </w:tr>
      <w:tr>
        <w:tc>
          <w:tcPr/>
          <w:p>
            <w:pPr>
              <w:pStyle w:val="Compact"/>
              <w:jc w:val="left"/>
            </w:pPr>
            <w:r>
              <w:t xml:space="preserve">Subscription</w:t>
            </w:r>
          </w:p>
        </w:tc>
        <w:tc>
          <w:tcPr/>
          <w:p>
            <w:pPr>
              <w:pStyle w:val="Compact"/>
              <w:jc w:val="left"/>
            </w:pPr>
            <w:r>
              <w:t xml:space="preserve">$24.4M</w:t>
            </w:r>
          </w:p>
        </w:tc>
        <w:tc>
          <w:tcPr/>
          <w:p>
            <w:pPr>
              <w:pStyle w:val="Compact"/>
              <w:jc w:val="left"/>
            </w:pPr>
            <w:r>
              <w:t xml:space="preserve">+16% YoY, recurring</w:t>
            </w:r>
          </w:p>
        </w:tc>
      </w:tr>
      <w:tr>
        <w:tc>
          <w:tcPr/>
          <w:p>
            <w:pPr>
              <w:pStyle w:val="Compact"/>
              <w:jc w:val="left"/>
            </w:pPr>
            <w:r>
              <w:t xml:space="preserve">Other</w:t>
            </w:r>
          </w:p>
        </w:tc>
        <w:tc>
          <w:tcPr/>
          <w:p>
            <w:pPr>
              <w:pStyle w:val="Compact"/>
              <w:jc w:val="left"/>
            </w:pPr>
            <w:r>
              <w:t xml:space="preserve">$3.7M</w:t>
            </w:r>
          </w:p>
        </w:tc>
        <w:tc>
          <w:tcPr/>
          <w:p>
            <w:pPr>
              <w:pStyle w:val="Compact"/>
              <w:jc w:val="left"/>
            </w:pPr>
            <w:r>
              <w:t xml:space="preserve">Small</w:t>
            </w:r>
          </w:p>
        </w:tc>
      </w:tr>
      <w:tr>
        <w:tc>
          <w:tcPr/>
          <w:p>
            <w:pPr>
              <w:pStyle w:val="Compact"/>
              <w:jc w:val="left"/>
            </w:pPr>
            <w:r>
              <w:t xml:space="preserve">Cost of revenue</w:t>
            </w:r>
          </w:p>
        </w:tc>
        <w:tc>
          <w:tcPr/>
          <w:p>
            <w:pPr>
              <w:pStyle w:val="Compact"/>
              <w:jc w:val="left"/>
            </w:pPr>
            <w:r>
              <w:t xml:space="preserve">$20.2M</w:t>
            </w:r>
          </w:p>
        </w:tc>
        <w:tc>
          <w:tcPr/>
          <w:p>
            <w:pPr>
              <w:pStyle w:val="Compact"/>
              <w:jc w:val="left"/>
            </w:pPr>
            <w:r>
              <w:t xml:space="preserve">10% of revenue, up from 7% on mix</w:t>
            </w:r>
          </w:p>
        </w:tc>
      </w:tr>
      <w:tr>
        <w:tc>
          <w:tcPr/>
          <w:p>
            <w:pPr>
              <w:pStyle w:val="Compact"/>
              <w:jc w:val="left"/>
            </w:pPr>
            <w:r>
              <w:t xml:space="preserve">Sales and marketing</w:t>
            </w:r>
          </w:p>
        </w:tc>
        <w:tc>
          <w:tcPr/>
          <w:p>
            <w:pPr>
              <w:pStyle w:val="Compact"/>
              <w:jc w:val="left"/>
            </w:pPr>
            <w:r>
              <w:t xml:space="preserve">$81.1M</w:t>
            </w:r>
          </w:p>
        </w:tc>
        <w:tc>
          <w:tcPr/>
          <w:p>
            <w:pPr>
              <w:pStyle w:val="Compact"/>
              <w:jc w:val="left"/>
            </w:pPr>
            <w:r>
              <w:t xml:space="preserve">42% of revenue, largely discretionary</w:t>
            </w:r>
          </w:p>
        </w:tc>
      </w:tr>
      <w:tr>
        <w:tc>
          <w:tcPr/>
          <w:p>
            <w:pPr>
              <w:pStyle w:val="Compact"/>
              <w:jc w:val="left"/>
            </w:pPr>
            <w:r>
              <w:t xml:space="preserve">Operating income</w:t>
            </w:r>
          </w:p>
        </w:tc>
        <w:tc>
          <w:tcPr/>
          <w:p>
            <w:pPr>
              <w:pStyle w:val="Compact"/>
              <w:jc w:val="left"/>
            </w:pPr>
            <w:r>
              <w:t xml:space="preserve">$14.0M</w:t>
            </w:r>
          </w:p>
        </w:tc>
        <w:tc>
          <w:tcPr/>
          <w:p>
            <w:pPr>
              <w:pStyle w:val="Compact"/>
              <w:jc w:val="left"/>
            </w:pPr>
            <w:r>
              <w:t xml:space="preserve">Positive</w:t>
            </w:r>
          </w:p>
        </w:tc>
      </w:tr>
      <w:tr>
        <w:tc>
          <w:tcPr/>
          <w:p>
            <w:pPr>
              <w:pStyle w:val="Compact"/>
              <w:jc w:val="left"/>
            </w:pPr>
            <w:r>
              <w:t xml:space="preserve">Net income</w:t>
            </w:r>
          </w:p>
        </w:tc>
        <w:tc>
          <w:tcPr/>
          <w:p>
            <w:pPr>
              <w:pStyle w:val="Compact"/>
              <w:jc w:val="left"/>
            </w:pPr>
            <w:r>
              <w:t xml:space="preserve">$1.2M</w:t>
            </w:r>
          </w:p>
        </w:tc>
        <w:tc>
          <w:tcPr/>
          <w:p>
            <w:pPr>
              <w:pStyle w:val="Compact"/>
              <w:jc w:val="left"/>
            </w:pPr>
            <w:r>
              <w:t xml:space="preserve">Thin on tax and stock-comp noise</w:t>
            </w:r>
          </w:p>
        </w:tc>
      </w:tr>
      <w:tr>
        <w:tc>
          <w:tcPr/>
          <w:p>
            <w:pPr>
              <w:pStyle w:val="Compact"/>
              <w:jc w:val="left"/>
            </w:pPr>
            <w:r>
              <w:t xml:space="preserve">Adjusted EBITDA</w:t>
            </w:r>
          </w:p>
        </w:tc>
        <w:tc>
          <w:tcPr/>
          <w:p>
            <w:pPr>
              <w:pStyle w:val="Compact"/>
              <w:jc w:val="left"/>
            </w:pPr>
            <w:r>
              <w:t xml:space="preserve">$58.3M</w:t>
            </w:r>
          </w:p>
        </w:tc>
        <w:tc>
          <w:tcPr/>
          <w:p>
            <w:pPr>
              <w:pStyle w:val="Compact"/>
              <w:jc w:val="left"/>
            </w:pPr>
            <w:r>
              <w:t xml:space="preserve">30.0% margin, down from 34.4%</w:t>
            </w:r>
          </w:p>
        </w:tc>
      </w:tr>
      <w:tr>
        <w:tc>
          <w:tcPr/>
          <w:p>
            <w:pPr>
              <w:pStyle w:val="Compact"/>
              <w:jc w:val="left"/>
            </w:pPr>
            <w:r>
              <w:t xml:space="preserve">Interest expense</w:t>
            </w:r>
          </w:p>
        </w:tc>
        <w:tc>
          <w:tcPr/>
          <w:p>
            <w:pPr>
              <w:pStyle w:val="Compact"/>
              <w:jc w:val="left"/>
            </w:pPr>
            <w:r>
              <w:t xml:space="preserve">$9.8M</w:t>
            </w:r>
          </w:p>
        </w:tc>
        <w:tc>
          <w:tcPr/>
          <w:p>
            <w:pPr>
              <w:pStyle w:val="Compact"/>
              <w:jc w:val="left"/>
            </w:pPr>
            <w:r>
              <w:t xml:space="preserve">~$39M annualized, covered many times</w:t>
            </w:r>
          </w:p>
        </w:tc>
      </w:tr>
    </w:tbl>
    <w:p>
      <w:pPr>
        <w:pStyle w:val="BodyText"/>
      </w:pPr>
      <w:r>
        <w:t xml:space="preserve">The headline is a business declining at the top of the funnel but still solidly profitable and cash-generative, with interest covered comfortably. That is all a first lien needs.</w:t>
      </w:r>
    </w:p>
    <w:bookmarkEnd w:id="47"/>
    <w:bookmarkStart w:id="48" w:name="Xf4e4d26f8f843d6c2feab74b67d00e4ee738eea"/>
    <w:p>
      <w:pPr>
        <w:pStyle w:val="Heading2"/>
      </w:pPr>
      <w:r>
        <w:t xml:space="preserve">9.2 Cash Flow and the Honest Free Cash Flow Number</w:t>
      </w:r>
    </w:p>
    <w:p>
      <w:pPr>
        <w:pStyle w:val="FirstParagraph"/>
      </w:pPr>
      <w:r>
        <w:t xml:space="preserve">Trailing operating cash flow is roughly $168 million. Subtract capitalized software of roughly $80 million per year and modest capex, and free cash flow is roughly $80 million. Conversion from Adjusted EBITDA is about 30%, which is the honest quality flag. But $80 million of free cash flow against $39 million of interest and $5 million of amortization is roughly 1.8x coverage on the strictest cash measure, before any of the $236 million cash balance. The company also repurchased $12.6 million of stock in Q1 2026, which it can afford precisely because leverage is low.</w:t>
      </w:r>
    </w:p>
    <w:bookmarkEnd w:id="48"/>
    <w:bookmarkStart w:id="49" w:name="balance-sheet"/>
    <w:p>
      <w:pPr>
        <w:pStyle w:val="Heading2"/>
      </w:pPr>
      <w:r>
        <w:t xml:space="preserve">9.3 Balance Sheet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3/31/2026</w:t>
            </w:r>
          </w:p>
        </w:tc>
        <w:tc>
          <w:tcPr/>
          <w:p>
            <w:pPr>
              <w:pStyle w:val="Compact"/>
              <w:jc w:val="left"/>
            </w:pPr>
            <w:r>
              <w:t xml:space="preserve">Comment</w:t>
            </w:r>
          </w:p>
        </w:tc>
      </w:tr>
      <w:tr>
        <w:tc>
          <w:tcPr/>
          <w:p>
            <w:pPr>
              <w:pStyle w:val="Compact"/>
              <w:jc w:val="left"/>
            </w:pPr>
            <w:r>
              <w:t xml:space="preserve">Cash</w:t>
            </w:r>
          </w:p>
        </w:tc>
        <w:tc>
          <w:tcPr/>
          <w:p>
            <w:pPr>
              <w:pStyle w:val="Compact"/>
              <w:jc w:val="left"/>
            </w:pPr>
            <w:r>
              <w:t xml:space="preserve">$235.7M</w:t>
            </w:r>
          </w:p>
        </w:tc>
        <w:tc>
          <w:tcPr/>
          <w:p>
            <w:pPr>
              <w:pStyle w:val="Compact"/>
              <w:jc w:val="left"/>
            </w:pPr>
            <w:r>
              <w:t xml:space="preserve">~6 years of interest, or ~48% of the loan</w:t>
            </w:r>
          </w:p>
        </w:tc>
      </w:tr>
      <w:tr>
        <w:tc>
          <w:tcPr/>
          <w:p>
            <w:pPr>
              <w:pStyle w:val="Compact"/>
              <w:jc w:val="left"/>
            </w:pPr>
            <w:r>
              <w:t xml:space="preserve">Goodwill</w:t>
            </w:r>
          </w:p>
        </w:tc>
        <w:tc>
          <w:tcPr/>
          <w:p>
            <w:pPr>
              <w:pStyle w:val="Compact"/>
              <w:jc w:val="left"/>
            </w:pPr>
            <w:r>
              <w:t xml:space="preserve">$430.3M</w:t>
            </w:r>
          </w:p>
        </w:tc>
        <w:tc>
          <w:tcPr/>
          <w:p>
            <w:pPr>
              <w:pStyle w:val="Compact"/>
              <w:jc w:val="left"/>
            </w:pPr>
            <w:r>
              <w:t xml:space="preserve">~21% of assets, non-cash impairment risk only</w:t>
            </w:r>
          </w:p>
        </w:tc>
      </w:tr>
      <w:tr>
        <w:tc>
          <w:tcPr/>
          <w:p>
            <w:pPr>
              <w:pStyle w:val="Compact"/>
              <w:jc w:val="left"/>
            </w:pPr>
            <w:r>
              <w:t xml:space="preserve">Capitalized software</w:t>
            </w:r>
          </w:p>
        </w:tc>
        <w:tc>
          <w:tcPr/>
          <w:p>
            <w:pPr>
              <w:pStyle w:val="Compact"/>
              <w:jc w:val="left"/>
            </w:pPr>
            <w:r>
              <w:t xml:space="preserve">$140.2M</w:t>
            </w:r>
          </w:p>
        </w:tc>
        <w:tc>
          <w:tcPr/>
          <w:p>
            <w:pPr>
              <w:pStyle w:val="Compact"/>
              <w:jc w:val="left"/>
            </w:pPr>
            <w:r>
              <w:t xml:space="preserve">Real recurring investment</w:t>
            </w:r>
          </w:p>
        </w:tc>
      </w:tr>
      <w:tr>
        <w:tc>
          <w:tcPr/>
          <w:p>
            <w:pPr>
              <w:pStyle w:val="Compact"/>
              <w:jc w:val="left"/>
            </w:pPr>
            <w:r>
              <w:t xml:space="preserve">Total assets</w:t>
            </w:r>
          </w:p>
        </w:tc>
        <w:tc>
          <w:tcPr/>
          <w:p>
            <w:pPr>
              <w:pStyle w:val="Compact"/>
              <w:jc w:val="left"/>
            </w:pPr>
            <w:r>
              <w:t xml:space="preserve">$2,021M</w:t>
            </w:r>
          </w:p>
        </w:tc>
        <w:tc>
          <w:tcPr/>
          <w:p>
            <w:pPr>
              <w:pStyle w:val="Compact"/>
            </w:pPr>
          </w:p>
        </w:tc>
      </w:tr>
      <w:tr>
        <w:tc>
          <w:tcPr/>
          <w:p>
            <w:pPr>
              <w:pStyle w:val="Compact"/>
              <w:jc w:val="left"/>
            </w:pPr>
            <w:r>
              <w:t xml:space="preserve">Debt (net)</w:t>
            </w:r>
          </w:p>
        </w:tc>
        <w:tc>
          <w:tcPr/>
          <w:p>
            <w:pPr>
              <w:pStyle w:val="Compact"/>
              <w:jc w:val="left"/>
            </w:pPr>
            <w:r>
              <w:t xml:space="preserve">$482.4M</w:t>
            </w:r>
          </w:p>
        </w:tc>
        <w:tc>
          <w:tcPr/>
          <w:p>
            <w:pPr>
              <w:pStyle w:val="Compact"/>
              <w:jc w:val="left"/>
            </w:pPr>
            <w:r>
              <w:t xml:space="preserve">Single first lien</w:t>
            </w:r>
          </w:p>
        </w:tc>
      </w:tr>
      <w:tr>
        <w:tc>
          <w:tcPr/>
          <w:p>
            <w:pPr>
              <w:pStyle w:val="Compact"/>
              <w:jc w:val="left"/>
            </w:pPr>
            <w:r>
              <w:t xml:space="preserve">Equity</w:t>
            </w:r>
          </w:p>
        </w:tc>
        <w:tc>
          <w:tcPr/>
          <w:p>
            <w:pPr>
              <w:pStyle w:val="Compact"/>
              <w:jc w:val="left"/>
            </w:pPr>
            <w:r>
              <w:t xml:space="preserve">$622.0M</w:t>
            </w:r>
          </w:p>
        </w:tc>
        <w:tc>
          <w:tcPr/>
          <w:p>
            <w:pPr>
              <w:pStyle w:val="Compact"/>
              <w:jc w:val="left"/>
            </w:pPr>
            <w:r>
              <w:t xml:space="preserve">Positive book equity below the loan</w:t>
            </w:r>
          </w:p>
        </w:tc>
      </w:tr>
      <w:tr>
        <w:tc>
          <w:tcPr/>
          <w:p>
            <w:pPr>
              <w:pStyle w:val="Compact"/>
              <w:jc w:val="left"/>
            </w:pPr>
            <w:r>
              <w:t xml:space="preserve">Accumulated deficit</w:t>
            </w:r>
          </w:p>
        </w:tc>
        <w:tc>
          <w:tcPr/>
          <w:p>
            <w:pPr>
              <w:pStyle w:val="Compact"/>
              <w:jc w:val="left"/>
            </w:pPr>
            <w:r>
              <w:t xml:space="preserve">$(1,409)M</w:t>
            </w:r>
          </w:p>
        </w:tc>
        <w:tc>
          <w:tcPr/>
          <w:p>
            <w:pPr>
              <w:pStyle w:val="Compact"/>
              <w:jc w:val="left"/>
            </w:pPr>
            <w:r>
              <w:t xml:space="preserve">Legacy, not a cash claim</w:t>
            </w:r>
          </w:p>
        </w:tc>
      </w:tr>
    </w:tbl>
    <w:p>
      <w:pPr>
        <w:pStyle w:val="BodyText"/>
      </w:pPr>
      <w:r>
        <w:t xml:space="preserve">The prescription reimbursement asset and liability (about $753.5 million and $751.0 million) are a matched gross-up from Pharma Direct consumer direct pricing. Net exposure is small. It is a quality-of-balance-sheet flag to monitor, not a solvency issue, and it does not sit ahead of the loan.</w:t>
      </w:r>
    </w:p>
    <w:bookmarkEnd w:id="49"/>
    <w:bookmarkStart w:id="50" w:name="ratios-and-covenant"/>
    <w:p>
      <w:pPr>
        <w:pStyle w:val="Heading2"/>
      </w:pPr>
      <w:r>
        <w:t xml:space="preserve">9.4 Ratios and Covenant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Read</w:t>
            </w:r>
          </w:p>
        </w:tc>
      </w:tr>
      <w:tr>
        <w:tc>
          <w:tcPr/>
          <w:p>
            <w:pPr>
              <w:pStyle w:val="Compact"/>
              <w:jc w:val="left"/>
            </w:pPr>
            <w:r>
              <w:t xml:space="preserve">Gross leverage</w:t>
            </w:r>
          </w:p>
        </w:tc>
        <w:tc>
          <w:tcPr/>
          <w:p>
            <w:pPr>
              <w:pStyle w:val="Compact"/>
              <w:jc w:val="left"/>
            </w:pPr>
            <w:r>
              <w:t xml:space="preserve">~1.9x</w:t>
            </w:r>
          </w:p>
        </w:tc>
        <w:tc>
          <w:tcPr/>
          <w:p>
            <w:pPr>
              <w:pStyle w:val="Compact"/>
              <w:jc w:val="left"/>
            </w:pPr>
            <w:r>
              <w:t xml:space="preserve">Very low for a levered loan</w:t>
            </w:r>
          </w:p>
        </w:tc>
      </w:tr>
      <w:tr>
        <w:tc>
          <w:tcPr/>
          <w:p>
            <w:pPr>
              <w:pStyle w:val="Compact"/>
              <w:jc w:val="left"/>
            </w:pPr>
            <w:r>
              <w:t xml:space="preserve">Net leverage</w:t>
            </w:r>
          </w:p>
        </w:tc>
        <w:tc>
          <w:tcPr/>
          <w:p>
            <w:pPr>
              <w:pStyle w:val="Compact"/>
              <w:jc w:val="left"/>
            </w:pPr>
            <w:r>
              <w:t xml:space="preserve">~1.0x</w:t>
            </w:r>
          </w:p>
        </w:tc>
        <w:tc>
          <w:tcPr/>
          <w:p>
            <w:pPr>
              <w:pStyle w:val="Compact"/>
              <w:jc w:val="left"/>
            </w:pPr>
            <w:r>
              <w:t xml:space="preserve">Best-in-class</w:t>
            </w:r>
          </w:p>
        </w:tc>
      </w:tr>
      <w:tr>
        <w:tc>
          <w:tcPr/>
          <w:p>
            <w:pPr>
              <w:pStyle w:val="Compact"/>
              <w:jc w:val="left"/>
            </w:pPr>
            <w:r>
              <w:t xml:space="preserve">Interest coverage (EBITDA)</w:t>
            </w:r>
          </w:p>
        </w:tc>
        <w:tc>
          <w:tcPr/>
          <w:p>
            <w:pPr>
              <w:pStyle w:val="Compact"/>
              <w:jc w:val="left"/>
            </w:pPr>
            <w:r>
              <w:t xml:space="preserve">~6.5x</w:t>
            </w:r>
          </w:p>
        </w:tc>
        <w:tc>
          <w:tcPr/>
          <w:p>
            <w:pPr>
              <w:pStyle w:val="Compact"/>
              <w:jc w:val="left"/>
            </w:pPr>
            <w:r>
              <w:t xml:space="preserve">Comfortable</w:t>
            </w:r>
          </w:p>
        </w:tc>
      </w:tr>
      <w:tr>
        <w:tc>
          <w:tcPr/>
          <w:p>
            <w:pPr>
              <w:pStyle w:val="Compact"/>
              <w:jc w:val="left"/>
            </w:pPr>
            <w:r>
              <w:t xml:space="preserve">FCF interest coverage</w:t>
            </w:r>
          </w:p>
        </w:tc>
        <w:tc>
          <w:tcPr/>
          <w:p>
            <w:pPr>
              <w:pStyle w:val="Compact"/>
              <w:jc w:val="left"/>
            </w:pPr>
            <w:r>
              <w:t xml:space="preserve">~1.8x-2.0x</w:t>
            </w:r>
          </w:p>
        </w:tc>
        <w:tc>
          <w:tcPr/>
          <w:p>
            <w:pPr>
              <w:pStyle w:val="Compact"/>
              <w:jc w:val="left"/>
            </w:pPr>
            <w:r>
              <w:t xml:space="preserve">Adequate on the strict measure</w:t>
            </w:r>
          </w:p>
        </w:tc>
      </w:tr>
      <w:tr>
        <w:tc>
          <w:tcPr/>
          <w:p>
            <w:pPr>
              <w:pStyle w:val="Compact"/>
              <w:jc w:val="left"/>
            </w:pPr>
            <w:r>
              <w:t xml:space="preserve">Springing covenant</w:t>
            </w:r>
          </w:p>
        </w:tc>
        <w:tc>
          <w:tcPr/>
          <w:p>
            <w:pPr>
              <w:pStyle w:val="Compact"/>
              <w:jc w:val="left"/>
            </w:pPr>
            <w:r>
              <w:t xml:space="preserve">8.2x first lien net leverage</w:t>
            </w:r>
          </w:p>
        </w:tc>
        <w:tc>
          <w:tcPr/>
          <w:p>
            <w:pPr>
              <w:pStyle w:val="Compact"/>
              <w:jc w:val="left"/>
            </w:pPr>
            <w:r>
              <w:t xml:space="preserve">Miles away, never binding</w:t>
            </w:r>
          </w:p>
        </w:tc>
      </w:tr>
    </w:tbl>
    <w:p>
      <w:pPr>
        <w:pStyle w:val="BodyText"/>
      </w:pPr>
      <w:r>
        <w:t xml:space="preserve">The single covenant is a springing first lien net leverage test at 8.2x, triggered only by revolver draws. At 1x net leverage the company has enormous headroom. For the long, the absence of a maintenance covenant cuts the right way: nothing forces a restructuring, and the credit can weather a long decline without ever tripping a test.</w:t>
      </w:r>
    </w:p>
    <w:bookmarkEnd w:id="50"/>
    <w:bookmarkStart w:id="51" w:name="multi-period-trend"/>
    <w:p>
      <w:pPr>
        <w:pStyle w:val="Heading2"/>
      </w:pPr>
      <w:r>
        <w:t xml:space="preserve">9.5 Multi-Period Trend</w:t>
      </w:r>
    </w:p>
    <w:p>
      <w:pPr>
        <w:pStyle w:val="FirstParagraph"/>
      </w:pPr>
      <w:r>
        <w:t xml:space="preserve">Adjusted EBITDA has declined from roughly $69.8 million in Q1 2025 to $58.3 million in Q1 2026, and full-year 2026 is guided to more than $235 million, down from roughly $268 million in 2025. Leverage therefore drifts up modestly, from about 1.9x toward roughly 2.1x gross on the guided base. Even on a bearish path toward $210 million to $220 million of EBITDA in 2027, gross leverage stays around 2.3x to 2.4x, which remains comfortably investment-grade-like in leverage terms even if the rating is single-B. The loan is money-good across every one of these scenarios.</w:t>
      </w:r>
    </w:p>
    <w:p>
      <w:r>
        <w:pict>
          <v:rect style="width:0;height:1.5pt" o:hralign="center" o:hrstd="t" o:hr="t"/>
        </w:pict>
      </w:r>
    </w:p>
    <w:bookmarkEnd w:id="51"/>
    <w:bookmarkEnd w:id="52"/>
    <w:bookmarkStart w:id="56" w:name="capital-structure"/>
    <w:p>
      <w:pPr>
        <w:pStyle w:val="Heading1"/>
      </w:pPr>
      <w:r>
        <w:t xml:space="preserve">10. Capital Structure</w:t>
      </w:r>
    </w:p>
    <w:bookmarkStart w:id="53" w:name="the-instrument"/>
    <w:p>
      <w:pPr>
        <w:pStyle w:val="Heading2"/>
      </w:pPr>
      <w:r>
        <w:t xml:space="preserve">10.1 The Instrument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Instrument</w:t>
            </w:r>
          </w:p>
        </w:tc>
        <w:tc>
          <w:tcPr/>
          <w:p>
            <w:pPr>
              <w:pStyle w:val="Compact"/>
              <w:jc w:val="left"/>
            </w:pPr>
            <w:r>
              <w:t xml:space="preserve">2024 First Lien Term Loan</w:t>
            </w:r>
          </w:p>
        </w:tc>
      </w:tr>
      <w:tr>
        <w:tc>
          <w:tcPr/>
          <w:p>
            <w:pPr>
              <w:pStyle w:val="Compact"/>
              <w:jc w:val="left"/>
            </w:pPr>
            <w:r>
              <w:t xml:space="preserve">Original / current</w:t>
            </w:r>
          </w:p>
        </w:tc>
        <w:tc>
          <w:tcPr/>
          <w:p>
            <w:pPr>
              <w:pStyle w:val="Compact"/>
              <w:jc w:val="left"/>
            </w:pPr>
            <w:r>
              <w:t xml:space="preserve">$500.0M / ~$493.8M</w:t>
            </w:r>
          </w:p>
        </w:tc>
      </w:tr>
      <w:tr>
        <w:tc>
          <w:tcPr/>
          <w:p>
            <w:pPr>
              <w:pStyle w:val="Compact"/>
              <w:jc w:val="left"/>
            </w:pPr>
            <w:r>
              <w:t xml:space="preserve">Maturity</w:t>
            </w:r>
          </w:p>
        </w:tc>
        <w:tc>
          <w:tcPr/>
          <w:p>
            <w:pPr>
              <w:pStyle w:val="Compact"/>
              <w:jc w:val="left"/>
            </w:pPr>
            <w:r>
              <w:t xml:space="preserve">July 10, 2029</w:t>
            </w:r>
          </w:p>
        </w:tc>
      </w:tr>
      <w:tr>
        <w:tc>
          <w:tcPr/>
          <w:p>
            <w:pPr>
              <w:pStyle w:val="Compact"/>
              <w:jc w:val="left"/>
            </w:pPr>
            <w:r>
              <w:t xml:space="preserve">Coupon</w:t>
            </w:r>
          </w:p>
        </w:tc>
        <w:tc>
          <w:tcPr/>
          <w:p>
            <w:pPr>
              <w:pStyle w:val="Compact"/>
              <w:jc w:val="left"/>
            </w:pPr>
            <w:r>
              <w:t xml:space="preserve">Term SOFR (0% floor) + 3.75%</w:t>
            </w:r>
          </w:p>
        </w:tc>
      </w:tr>
      <w:tr>
        <w:tc>
          <w:tcPr/>
          <w:p>
            <w:pPr>
              <w:pStyle w:val="Compact"/>
              <w:jc w:val="left"/>
            </w:pPr>
            <w:r>
              <w:t xml:space="preserve">All-in yield</w:t>
            </w:r>
          </w:p>
        </w:tc>
        <w:tc>
          <w:tcPr/>
          <w:p>
            <w:pPr>
              <w:pStyle w:val="Compact"/>
              <w:jc w:val="left"/>
            </w:pPr>
            <w:r>
              <w:t xml:space="preserve">~8.0% (verify vs live SOFR)</w:t>
            </w:r>
          </w:p>
        </w:tc>
      </w:tr>
      <w:tr>
        <w:tc>
          <w:tcPr/>
          <w:p>
            <w:pPr>
              <w:pStyle w:val="Compact"/>
              <w:jc w:val="left"/>
            </w:pPr>
            <w:r>
              <w:t xml:space="preserve">OID at issue</w:t>
            </w:r>
          </w:p>
        </w:tc>
        <w:tc>
          <w:tcPr/>
          <w:p>
            <w:pPr>
              <w:pStyle w:val="Compact"/>
              <w:jc w:val="left"/>
            </w:pPr>
            <w:r>
              <w:t xml:space="preserve">99.0</w:t>
            </w:r>
          </w:p>
        </w:tc>
      </w:tr>
      <w:tr>
        <w:tc>
          <w:tcPr/>
          <w:p>
            <w:pPr>
              <w:pStyle w:val="Compact"/>
              <w:jc w:val="left"/>
            </w:pPr>
            <w:r>
              <w:t xml:space="preserve">Amortization</w:t>
            </w:r>
          </w:p>
        </w:tc>
        <w:tc>
          <w:tcPr/>
          <w:p>
            <w:pPr>
              <w:pStyle w:val="Compact"/>
              <w:jc w:val="left"/>
            </w:pPr>
            <w:r>
              <w:t xml:space="preserve">1% per year (~$5M), quarterly</w:t>
            </w:r>
          </w:p>
        </w:tc>
      </w:tr>
      <w:tr>
        <w:tc>
          <w:tcPr/>
          <w:p>
            <w:pPr>
              <w:pStyle w:val="Compact"/>
              <w:jc w:val="left"/>
            </w:pPr>
            <w:r>
              <w:t xml:space="preserve">Call protection</w:t>
            </w:r>
          </w:p>
        </w:tc>
        <w:tc>
          <w:tcPr/>
          <w:p>
            <w:pPr>
              <w:pStyle w:val="Compact"/>
              <w:jc w:val="left"/>
            </w:pPr>
            <w:r>
              <w:t xml:space="preserve">Callable at par (1% soft-call expired Jan 10, 2025)</w:t>
            </w:r>
          </w:p>
        </w:tc>
      </w:tr>
      <w:tr>
        <w:tc>
          <w:tcPr/>
          <w:p>
            <w:pPr>
              <w:pStyle w:val="Compact"/>
              <w:jc w:val="left"/>
            </w:pPr>
            <w:r>
              <w:t xml:space="preserve">Revolver</w:t>
            </w:r>
          </w:p>
        </w:tc>
        <w:tc>
          <w:tcPr/>
          <w:p>
            <w:pPr>
              <w:pStyle w:val="Compact"/>
              <w:jc w:val="left"/>
            </w:pPr>
            <w:r>
              <w:t xml:space="preserve">~$88M, undrawn, matures April 10, 2029</w:t>
            </w:r>
          </w:p>
        </w:tc>
      </w:tr>
      <w:tr>
        <w:tc>
          <w:tcPr/>
          <w:p>
            <w:pPr>
              <w:pStyle w:val="Compact"/>
              <w:jc w:val="left"/>
            </w:pPr>
            <w:r>
              <w:t xml:space="preserve">Covenant</w:t>
            </w:r>
          </w:p>
        </w:tc>
        <w:tc>
          <w:tcPr/>
          <w:p>
            <w:pPr>
              <w:pStyle w:val="Compact"/>
              <w:jc w:val="left"/>
            </w:pPr>
            <w:r>
              <w:t xml:space="preserve">Springing 8.2x first lien net leverage (revolver-triggered)</w:t>
            </w:r>
          </w:p>
        </w:tc>
      </w:tr>
      <w:tr>
        <w:tc>
          <w:tcPr/>
          <w:p>
            <w:pPr>
              <w:pStyle w:val="Compact"/>
              <w:jc w:val="left"/>
            </w:pPr>
            <w:r>
              <w:t xml:space="preserve">Administrative agent</w:t>
            </w:r>
          </w:p>
        </w:tc>
        <w:tc>
          <w:tcPr/>
          <w:p>
            <w:pPr>
              <w:pStyle w:val="Compact"/>
              <w:jc w:val="left"/>
            </w:pPr>
            <w:r>
              <w:t xml:space="preserve">Barclays Bank PLC</w:t>
            </w:r>
          </w:p>
        </w:tc>
      </w:tr>
      <w:tr>
        <w:tc>
          <w:tcPr/>
          <w:p>
            <w:pPr>
              <w:pStyle w:val="Compact"/>
              <w:jc w:val="left"/>
            </w:pPr>
            <w:r>
              <w:t xml:space="preserve">Arrangers</w:t>
            </w:r>
          </w:p>
        </w:tc>
        <w:tc>
          <w:tcPr/>
          <w:p>
            <w:pPr>
              <w:pStyle w:val="Compact"/>
              <w:jc w:val="left"/>
            </w:pPr>
            <w:r>
              <w:t xml:space="preserve">Morgan Stanley, Goldman Sachs, Barclays, Citigroup</w:t>
            </w:r>
          </w:p>
        </w:tc>
      </w:tr>
      <w:tr>
        <w:tc>
          <w:tcPr/>
          <w:p>
            <w:pPr>
              <w:pStyle w:val="Compact"/>
              <w:jc w:val="left"/>
            </w:pPr>
            <w:r>
              <w:t xml:space="preserve">Security</w:t>
            </w:r>
          </w:p>
        </w:tc>
        <w:tc>
          <w:tcPr/>
          <w:p>
            <w:pPr>
              <w:pStyle w:val="Compact"/>
              <w:jc w:val="left"/>
            </w:pPr>
            <w:r>
              <w:t xml:space="preserve">First lien on substantially all assets and 100% of GoodRx, Inc. equity</w:t>
            </w:r>
          </w:p>
        </w:tc>
      </w:tr>
      <w:tr>
        <w:tc>
          <w:tcPr/>
          <w:p>
            <w:pPr>
              <w:pStyle w:val="Compact"/>
              <w:jc w:val="left"/>
            </w:pPr>
            <w:r>
              <w:t xml:space="preserve">Guarantees</w:t>
            </w:r>
          </w:p>
        </w:tc>
        <w:tc>
          <w:tcPr/>
          <w:p>
            <w:pPr>
              <w:pStyle w:val="Compact"/>
              <w:jc w:val="left"/>
            </w:pPr>
            <w:r>
              <w:t xml:space="preserve">Intermediate Holdings and domestic subsidiaries</w:t>
            </w:r>
          </w:p>
        </w:tc>
      </w:tr>
    </w:tbl>
    <w:bookmarkEnd w:id="53"/>
    <w:bookmarkStart w:id="54" w:name="ratings-and-structure"/>
    <w:p>
      <w:pPr>
        <w:pStyle w:val="Heading2"/>
      </w:pPr>
      <w:r>
        <w:t xml:space="preserve">10.2 Ratings and Structure</w:t>
      </w:r>
    </w:p>
    <w:p>
      <w:pPr>
        <w:pStyle w:val="FirstParagraph"/>
      </w:pPr>
      <w:r>
        <w:t xml:space="preserve">The 2018 financing carried a B2 corporate family rating and B1 first lien from Moody’s. Given roughly 1x net leverage today, the credit profile is consistent with a solid single-B or better on leverage, though the business trajectory caps the rating. Confirm live ratings and outlooks before presenting. The structure is clean: one tranche, first lien, full guarantees, no holdco debt, no second lien, no structural subordination. This is the highest-recovery configuration a term loan can have.</w:t>
      </w:r>
    </w:p>
    <w:bookmarkEnd w:id="54"/>
    <w:bookmarkStart w:id="55" w:name="refinancing-setup"/>
    <w:p>
      <w:pPr>
        <w:pStyle w:val="Heading2"/>
      </w:pPr>
      <w:r>
        <w:t xml:space="preserve">10.3 Refinancing Setup</w:t>
      </w:r>
    </w:p>
    <w:p>
      <w:pPr>
        <w:pStyle w:val="FirstParagraph"/>
      </w:pPr>
      <w:r>
        <w:t xml:space="preserve">There is no maturity until July 2029, so refinancing is a 2027-2028 story, not a near-term risk. At 1x net leverage with positive free cash flow, GoodRx is exactly the kind of borrower that refinances cleanly in most market environments, and the callable-at-par feature means the company can refinance opportunistically if spreads tighten. A long holder benefits either way: hold to par at maturity, or get taken out at par early in a refinancing.</w:t>
      </w:r>
    </w:p>
    <w:p>
      <w:r>
        <w:pict>
          <v:rect style="width:0;height:1.5pt" o:hralign="center" o:hrstd="t" o:hr="t"/>
        </w:pict>
      </w:r>
    </w:p>
    <w:bookmarkEnd w:id="55"/>
    <w:bookmarkEnd w:id="56"/>
    <w:bookmarkStart w:id="63" w:name="Xc62cd46b996665b91f9bf92739e6d9b2146bdf3"/>
    <w:p>
      <w:pPr>
        <w:pStyle w:val="Heading1"/>
      </w:pPr>
      <w:r>
        <w:t xml:space="preserve">11. Loan Analysis and the Trade (The Instrument You Are Pitching)</w:t>
      </w:r>
    </w:p>
    <w:bookmarkStart w:id="57" w:name="relative-value-the-core-of-the-long"/>
    <w:p>
      <w:pPr>
        <w:pStyle w:val="Heading2"/>
      </w:pPr>
      <w:r>
        <w:t xml:space="preserve">11.1 Relative Value: The Core of the Long</w:t>
      </w:r>
    </w:p>
    <w:p>
      <w:pPr>
        <w:pStyle w:val="FirstParagraph"/>
      </w:pPr>
      <w:r>
        <w:t xml:space="preserve">The cleanest way to see the mispricing is spread per turn of leverage. A typical single-B first lien pays roughly SOFR+350 to SOFR+450 for 4x to 6x leverage. GoodRx pays SOFR+375 for roughly 1x net and 1.9x gross. On a spread-per-turn basis you are being paid roughly the same absolute spread for a quarter of the leverage, which means you are being paid far more per unit of actual credit risk. The market is charging GoodRx a full single-B spread for a balance sheet that looks investment-grade in leverage terms. That is the inefficiency the long monetizes.</w:t>
      </w:r>
    </w:p>
    <w:p>
      <w:pPr>
        <w:pStyle w:val="BodyText"/>
      </w:pPr>
      <w:r>
        <w:t xml:space="preserve">The reason the mispricing exists is that loan investors anchor on the equity narrative and the declining top line, and price the spread for business risk that the balance sheet largely neutralizes. As the equity recovers and the decline is shown to be absorbable, the loan should re-rate tighter, or at minimum keep paying an outsized carry for safety that does not deteriorate.</w:t>
      </w:r>
    </w:p>
    <w:bookmarkEnd w:id="57"/>
    <w:bookmarkStart w:id="58" w:name="why-own-a-loan-already-near-par"/>
    <w:p>
      <w:pPr>
        <w:pStyle w:val="Heading2"/>
      </w:pPr>
      <w:r>
        <w:t xml:space="preserve">11.2 Why Own a Loan Already Near Par</w:t>
      </w:r>
    </w:p>
    <w:p>
      <w:pPr>
        <w:pStyle w:val="FirstParagraph"/>
      </w:pPr>
      <w:r>
        <w:t xml:space="preserve">A near-par performing loan is not a capital-appreciation trade in the way a distressed loan is. The long here is a carry-and-protection trade with three sources of return. You earn the roughly 8% all-in coupon, which is high for the risk. You capture any pull toward par if you enter at a modest discount and the loan glides to par at maturity, refinancing, or take-out. And you hold optionality on an early par take-out via M&amp;A, which accelerates the return. Downside is shallow because the loan is money-good, so the return distribution is asymmetric in the long’s favor: a high, well-protected carry with limited downside and several ways to win at par.</w:t>
      </w:r>
    </w:p>
    <w:bookmarkEnd w:id="58"/>
    <w:bookmarkStart w:id="59" w:name="the-trade-construction"/>
    <w:p>
      <w:pPr>
        <w:pStyle w:val="Heading2"/>
      </w:pPr>
      <w:r>
        <w:t xml:space="preserve">11.3 The Trade Construction</w:t>
      </w:r>
    </w:p>
    <w:p>
      <w:pPr>
        <w:pStyle w:val="FirstParagraph"/>
      </w:pPr>
      <w:r>
        <w:rPr>
          <w:bCs/>
          <w:b/>
        </w:rPr>
        <w:t xml:space="preserve">Direction and instrument.</w:t>
      </w:r>
      <w:r>
        <w:t xml:space="preserve"> </w:t>
      </w:r>
      <w:r>
        <w:t xml:space="preserve">Long or overweight the GoodRx 2024 First Lien Term Loan due July 2029, Term SOFR + 3.75%.</w:t>
      </w:r>
    </w:p>
    <w:p>
      <w:pPr>
        <w:pStyle w:val="BodyText"/>
      </w:pPr>
      <w:r>
        <w:rPr>
          <w:bCs/>
          <w:b/>
        </w:rPr>
        <w:t xml:space="preserve">Entry.</w:t>
      </w:r>
      <w:r>
        <w:t xml:space="preserve"> </w:t>
      </w:r>
      <w:r>
        <w:t xml:space="preserve">Illustratively around 99.0, and attractive anywhere from 98.0 to 99.5. Verify the live mark on a dealer run or loan-pricing service before execution. If the loan has cheapened below 98 on equity-driven or trajectory-driven selling, that is a better entry on an unchanged money-good credit, and the recommendation is to add, not to wait.</w:t>
      </w:r>
    </w:p>
    <w:p>
      <w:pPr>
        <w:pStyle w:val="BodyText"/>
      </w:pPr>
      <w:r>
        <w:rPr>
          <w:bCs/>
          <w:b/>
        </w:rPr>
        <w:t xml:space="preserve">Target.</w:t>
      </w:r>
      <w:r>
        <w:t xml:space="preserve"> </w:t>
      </w:r>
      <w:r>
        <w:t xml:space="preserve">Par plus carry. In the base case, a 12-month total return near 9%, composed of roughly 8 points of coupon carry and roughly 1 point of price appreciation toward par. Natural terminal value is par at refinancing, take-out, or maturity.</w:t>
      </w:r>
    </w:p>
    <w:p>
      <w:pPr>
        <w:pStyle w:val="BodyText"/>
      </w:pPr>
      <w:r>
        <w:rPr>
          <w:bCs/>
          <w:b/>
        </w:rPr>
        <w:t xml:space="preserve">Size.</w:t>
      </w:r>
      <w:r>
        <w:t xml:space="preserve"> </w:t>
      </w:r>
      <w:r>
        <w:t xml:space="preserve">Treat this as a core carry position rather than a high-conviction capital-appreciation swing, because upside is capped near par. For a diversified loan portfolio, roughly 2% to 3% of NAV is appropriate, toward the upper end of a typical single-name single-B limit given the safety profile. Illustratively that is $10 million to $15 million notional on a $500 million book. Size up on dips rather than chasing, and keep room to add if the loan cheapens.</w:t>
      </w:r>
    </w:p>
    <w:p>
      <w:pPr>
        <w:pStyle w:val="BodyText"/>
      </w:pPr>
      <w:r>
        <w:rPr>
          <w:bCs/>
          <w:b/>
        </w:rPr>
        <w:t xml:space="preserve">Horizon.</w:t>
      </w:r>
      <w:r>
        <w:t xml:space="preserve"> </w:t>
      </w:r>
      <w:r>
        <w:t xml:space="preserve">A 12 to 24 month core hold. Positive carry means time works for you, which is the structural opposite of the short, where negative carry punishes patience. The trade has natural exit points at any refinancing (likely 2027-2028) or take-out.</w:t>
      </w:r>
    </w:p>
    <w:p>
      <w:pPr>
        <w:pStyle w:val="BodyText"/>
      </w:pPr>
      <w:r>
        <w:rPr>
          <w:bCs/>
          <w:b/>
        </w:rPr>
        <w:t xml:space="preserve">Financing and technical.</w:t>
      </w:r>
      <w:r>
        <w:t xml:space="preserve"> </w:t>
      </w:r>
      <w:r>
        <w:t xml:space="preserve">The loan is very likely CLO-eligible as a performing single-B first lien, which supports a steady structural bid and aids both liquidity and financing. This technical is a tailwind for a long holder and a headwind for anyone trying to press it lower.</w:t>
      </w:r>
    </w:p>
    <w:p>
      <w:pPr>
        <w:pStyle w:val="BodyText"/>
      </w:pPr>
      <w:r>
        <w:rPr>
          <w:bCs/>
          <w:b/>
        </w:rPr>
        <w:t xml:space="preserve">Entry discipline and adds.</w:t>
      </w:r>
      <w:r>
        <w:t xml:space="preserve"> </w:t>
      </w:r>
      <w:r>
        <w:t xml:space="preserve">Scale in over a few clips given secondary liquidity in a roughly $494 million facility. Add on spread-driven weakness toward 97-98. The thesis improves as the price falls on a money-good credit, so weakness is an opportunity, not a stop.</w:t>
      </w:r>
    </w:p>
    <w:bookmarkEnd w:id="59"/>
    <w:bookmarkStart w:id="60" w:name="X63be1241b381dccb5e168387afe5ce46bfa6137"/>
    <w:p>
      <w:pPr>
        <w:pStyle w:val="Heading2"/>
      </w:pPr>
      <w:r>
        <w:t xml:space="preserve">11.4 Scenario Return Math (Illustrative, 12-Month, Entry 99.0)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Spread / price path</w:t>
            </w:r>
          </w:p>
        </w:tc>
        <w:tc>
          <w:tcPr/>
          <w:p>
            <w:pPr>
              <w:pStyle w:val="Compact"/>
              <w:jc w:val="left"/>
            </w:pPr>
            <w:r>
              <w:t xml:space="preserve">Carry</w:t>
            </w:r>
          </w:p>
        </w:tc>
        <w:tc>
          <w:tcPr/>
          <w:p>
            <w:pPr>
              <w:pStyle w:val="Compact"/>
              <w:jc w:val="left"/>
            </w:pPr>
            <w:r>
              <w:t xml:space="preserve">Price P&amp;L</w:t>
            </w:r>
          </w:p>
        </w:tc>
        <w:tc>
          <w:tcPr/>
          <w:p>
            <w:pPr>
              <w:pStyle w:val="Compact"/>
              <w:jc w:val="left"/>
            </w:pPr>
            <w:r>
              <w:t xml:space="preserve">12-mo total return</w:t>
            </w:r>
          </w:p>
        </w:tc>
      </w:tr>
      <w:tr>
        <w:tc>
          <w:tcPr/>
          <w:p>
            <w:pPr>
              <w:pStyle w:val="Compact"/>
              <w:jc w:val="left"/>
            </w:pPr>
            <w:r>
              <w:rPr>
                <w:bCs/>
                <w:b/>
              </w:rPr>
              <w:t xml:space="preserve">Base</w:t>
            </w:r>
          </w:p>
        </w:tc>
        <w:tc>
          <w:tcPr/>
          <w:p>
            <w:pPr>
              <w:pStyle w:val="Compact"/>
              <w:jc w:val="left"/>
            </w:pPr>
            <w:r>
              <w:t xml:space="preserve">Spread stable, glides toward par</w:t>
            </w:r>
          </w:p>
        </w:tc>
        <w:tc>
          <w:tcPr/>
          <w:p>
            <w:pPr>
              <w:pStyle w:val="Compact"/>
              <w:jc w:val="left"/>
            </w:pPr>
            <w:r>
              <w:t xml:space="preserve">~+8.0%</w:t>
            </w:r>
          </w:p>
        </w:tc>
        <w:tc>
          <w:tcPr/>
          <w:p>
            <w:pPr>
              <w:pStyle w:val="Compact"/>
              <w:jc w:val="left"/>
            </w:pPr>
            <w:r>
              <w:t xml:space="preserve">~+1.0 pt</w:t>
            </w:r>
          </w:p>
        </w:tc>
        <w:tc>
          <w:tcPr/>
          <w:p>
            <w:pPr>
              <w:pStyle w:val="Compact"/>
              <w:jc w:val="left"/>
            </w:pPr>
            <w:r>
              <w:rPr>
                <w:bCs/>
                <w:b/>
              </w:rPr>
              <w:t xml:space="preserve">~+9%</w:t>
            </w:r>
          </w:p>
        </w:tc>
      </w:tr>
      <w:tr>
        <w:tc>
          <w:tcPr/>
          <w:p>
            <w:pPr>
              <w:pStyle w:val="Compact"/>
              <w:jc w:val="left"/>
            </w:pPr>
            <w:r>
              <w:rPr>
                <w:bCs/>
                <w:b/>
              </w:rPr>
              <w:t xml:space="preserve">Bull: refi or M&amp;A take-out at par</w:t>
            </w:r>
          </w:p>
        </w:tc>
        <w:tc>
          <w:tcPr/>
          <w:p>
            <w:pPr>
              <w:pStyle w:val="Compact"/>
              <w:jc w:val="left"/>
            </w:pPr>
            <w:r>
              <w:t xml:space="preserve">Repaid at 100 within the year</w:t>
            </w:r>
          </w:p>
        </w:tc>
        <w:tc>
          <w:tcPr/>
          <w:p>
            <w:pPr>
              <w:pStyle w:val="Compact"/>
              <w:jc w:val="left"/>
            </w:pPr>
            <w:r>
              <w:t xml:space="preserve">~+8.0% (accrued to take-out)</w:t>
            </w:r>
          </w:p>
        </w:tc>
        <w:tc>
          <w:tcPr/>
          <w:p>
            <w:pPr>
              <w:pStyle w:val="Compact"/>
              <w:jc w:val="left"/>
            </w:pPr>
            <w:r>
              <w:t xml:space="preserve">+1.0 pt to par, earlier</w:t>
            </w:r>
          </w:p>
        </w:tc>
        <w:tc>
          <w:tcPr/>
          <w:p>
            <w:pPr>
              <w:pStyle w:val="Compact"/>
              <w:jc w:val="left"/>
            </w:pPr>
            <w:r>
              <w:rPr>
                <w:bCs/>
                <w:b/>
              </w:rPr>
              <w:t xml:space="preserve">low double digits IRR</w:t>
            </w:r>
            <w:r>
              <w:t xml:space="preserve">, higher if take-out is fast</w:t>
            </w:r>
          </w:p>
        </w:tc>
      </w:tr>
      <w:tr>
        <w:tc>
          <w:tcPr/>
          <w:p>
            <w:pPr>
              <w:pStyle w:val="Compact"/>
              <w:jc w:val="left"/>
            </w:pPr>
            <w:r>
              <w:rPr>
                <w:bCs/>
                <w:b/>
              </w:rPr>
              <w:t xml:space="preserve">Bull: spread tightens 50bp</w:t>
            </w:r>
          </w:p>
        </w:tc>
        <w:tc>
          <w:tcPr/>
          <w:p>
            <w:pPr>
              <w:pStyle w:val="Compact"/>
              <w:jc w:val="left"/>
            </w:pPr>
            <w:r>
              <w:t xml:space="preserve">Re-rates tighter as decline proves absorbable</w:t>
            </w:r>
          </w:p>
        </w:tc>
        <w:tc>
          <w:tcPr/>
          <w:p>
            <w:pPr>
              <w:pStyle w:val="Compact"/>
              <w:jc w:val="left"/>
            </w:pPr>
            <w:r>
              <w:t xml:space="preserve">~+8.0%</w:t>
            </w:r>
          </w:p>
        </w:tc>
        <w:tc>
          <w:tcPr/>
          <w:p>
            <w:pPr>
              <w:pStyle w:val="Compact"/>
              <w:jc w:val="left"/>
            </w:pPr>
            <w:r>
              <w:t xml:space="preserve">~+1.5 to +2.0 pts</w:t>
            </w:r>
          </w:p>
        </w:tc>
        <w:tc>
          <w:tcPr/>
          <w:p>
            <w:pPr>
              <w:pStyle w:val="Compact"/>
              <w:jc w:val="left"/>
            </w:pPr>
            <w:r>
              <w:rPr>
                <w:bCs/>
                <w:b/>
              </w:rPr>
              <w:t xml:space="preserve">~+10-11%</w:t>
            </w:r>
          </w:p>
        </w:tc>
      </w:tr>
      <w:tr>
        <w:tc>
          <w:tcPr/>
          <w:p>
            <w:pPr>
              <w:pStyle w:val="Compact"/>
              <w:jc w:val="left"/>
            </w:pPr>
            <w:r>
              <w:rPr>
                <w:bCs/>
                <w:b/>
              </w:rPr>
              <w:t xml:space="preserve">Bear: spread widens 150-250bp</w:t>
            </w:r>
          </w:p>
        </w:tc>
        <w:tc>
          <w:tcPr/>
          <w:p>
            <w:pPr>
              <w:pStyle w:val="Compact"/>
              <w:jc w:val="left"/>
            </w:pPr>
            <w:r>
              <w:t xml:space="preserve">Trajectory fear spikes on a weak print</w:t>
            </w:r>
          </w:p>
        </w:tc>
        <w:tc>
          <w:tcPr/>
          <w:p>
            <w:pPr>
              <w:pStyle w:val="Compact"/>
              <w:jc w:val="left"/>
            </w:pPr>
            <w:r>
              <w:t xml:space="preserve">~+8.0%</w:t>
            </w:r>
          </w:p>
        </w:tc>
        <w:tc>
          <w:tcPr/>
          <w:p>
            <w:pPr>
              <w:pStyle w:val="Compact"/>
              <w:jc w:val="left"/>
            </w:pPr>
            <w:r>
              <w:t xml:space="preserve">~-2.0 to -3.5 pts</w:t>
            </w:r>
          </w:p>
        </w:tc>
        <w:tc>
          <w:tcPr/>
          <w:p>
            <w:pPr>
              <w:pStyle w:val="Compact"/>
              <w:jc w:val="left"/>
            </w:pPr>
            <w:r>
              <w:rPr>
                <w:bCs/>
                <w:b/>
              </w:rPr>
              <w:t xml:space="preserve">~+5% to +6%</w:t>
            </w:r>
          </w:p>
        </w:tc>
      </w:tr>
      <w:tr>
        <w:tc>
          <w:tcPr/>
          <w:p>
            <w:pPr>
              <w:pStyle w:val="Compact"/>
              <w:jc w:val="left"/>
            </w:pPr>
            <w:r>
              <w:rPr>
                <w:bCs/>
                <w:b/>
              </w:rPr>
              <w:t xml:space="preserve">Severe: going-concern scare (low probability)</w:t>
            </w:r>
          </w:p>
        </w:tc>
        <w:tc>
          <w:tcPr/>
          <w:p>
            <w:pPr>
              <w:pStyle w:val="Compact"/>
              <w:jc w:val="left"/>
            </w:pPr>
            <w:r>
              <w:t xml:space="preserve">Price to distressed, but first lien recovers high</w:t>
            </w:r>
          </w:p>
        </w:tc>
        <w:tc>
          <w:tcPr/>
          <w:p>
            <w:pPr>
              <w:pStyle w:val="Compact"/>
              <w:jc w:val="left"/>
            </w:pPr>
            <w:r>
              <w:t xml:space="preserve">partial</w:t>
            </w:r>
          </w:p>
        </w:tc>
        <w:tc>
          <w:tcPr/>
          <w:p>
            <w:pPr>
              <w:pStyle w:val="Compact"/>
              <w:jc w:val="left"/>
            </w:pPr>
            <w:r>
              <w:t xml:space="preserve">large mark drop, high ultimate recovery</w:t>
            </w:r>
          </w:p>
        </w:tc>
        <w:tc>
          <w:tcPr/>
          <w:p>
            <w:pPr>
              <w:pStyle w:val="Compact"/>
              <w:jc w:val="left"/>
            </w:pPr>
            <w:r>
              <w:t xml:space="preserve">negative mark, principal largely protected on hold-to-recovery</w:t>
            </w:r>
          </w:p>
        </w:tc>
      </w:tr>
    </w:tbl>
    <w:p>
      <w:pPr>
        <w:pStyle w:val="BodyText"/>
      </w:pPr>
      <w:r>
        <w:t xml:space="preserve">The key feature is that the realistic bear case is still positive over twelve months, because roughly 8 points of carry absorbs a meaningful spread-widening mark. You have to construct a genuine going-concern scenario, which the 1x-net balance sheet and $236 million cash make remote over the loan’s life, to lose principal.</w:t>
      </w:r>
    </w:p>
    <w:bookmarkEnd w:id="60"/>
    <w:bookmarkStart w:id="61" w:name="expressions"/>
    <w:p>
      <w:pPr>
        <w:pStyle w:val="Heading2"/>
      </w:pPr>
      <w:r>
        <w:t xml:space="preserve">11.5 Expressions</w:t>
      </w:r>
    </w:p>
    <w:p>
      <w:pPr>
        <w:pStyle w:val="FirstParagraph"/>
      </w:pPr>
      <w:r>
        <w:t xml:space="preserve">The cleanest expression is simply to own or add the loan in cash. If you want to enhance or hedge, three overlays are available. Fund part of the position by selling a lower-spread-per-turn single-B first lien, isolating the relative-value gap and hedging loan-market beta. Use a total return swap to gain the long synthetically if you cannot source the cash loan, in which case you receive the total return and the positive carry works for you. Or pair the long loan with a small short in the equity if you specifically want to hedge the business-trajectory risk while keeping the credit carry, since the equity is the higher-beta expression of the same decline. For most credit books, owning the cash loan and adding on dips is the right and simplest trade.</w:t>
      </w:r>
    </w:p>
    <w:bookmarkEnd w:id="61"/>
    <w:bookmarkStart w:id="62" w:name="risk-management-and-exit-discipline"/>
    <w:p>
      <w:pPr>
        <w:pStyle w:val="Heading2"/>
      </w:pPr>
      <w:r>
        <w:t xml:space="preserve">11.6 Risk Management and Exit Discipline</w:t>
      </w:r>
    </w:p>
    <w:p>
      <w:pPr>
        <w:pStyle w:val="FirstParagraph"/>
      </w:pPr>
      <w:r>
        <w:t xml:space="preserve">Reassess or trim the position if any of the following occurs. Gross leverage trajectory breaks above roughly 4x, most plausibly through a large debt-funded acquisition. LTM Adjusted EBITDA falls below roughly $180 million with no sign of stabilization, pressuring the free-cash-flow coverage. A close reading of the credit agreement reveals meaningful capacity for priming debt or collateral drop-downs that could subordinate the loan. Or the 2029 maturity approaches into a shut refinancing market without the company having addressed it by 2028. None of these is a hold-to-par concern today, but each is a monitorable trigger. Absent these, the discipline is to hold for carry and add on weakness.</w:t>
      </w:r>
    </w:p>
    <w:p>
      <w:r>
        <w:pict>
          <v:rect style="width:0;height:1.5pt" o:hralign="center" o:hrstd="t" o:hr="t"/>
        </w:pict>
      </w:r>
    </w:p>
    <w:bookmarkEnd w:id="62"/>
    <w:bookmarkEnd w:id="63"/>
    <w:bookmarkStart w:id="64" w:name="X0344b7217560395254bc600672f39b826b6d452"/>
    <w:p>
      <w:pPr>
        <w:pStyle w:val="Heading1"/>
      </w:pPr>
      <w:r>
        <w:t xml:space="preserve">12. Equity Performance and Why It Now Helps the Long</w:t>
      </w:r>
    </w:p>
    <w:p>
      <w:pPr>
        <w:pStyle w:val="FirstParagraph"/>
      </w:pPr>
      <w:r>
        <w:t xml:space="preserve">The equity fell more than 80% from its 2020 IPO and remains well below its highs, which is the source of the market’s terminal-decline fear. But the recent path matters for the credit. The stock has recovered to roughly $2.95, up about 11% over thirty days and about 37% over ninety days, with analysts raising 2026 EPS estimates roughly 9% over three months and a July 8, 2026 upgrade to a Zacks Buy. The equity market is beginning to price stabilization and optionality rather than pure decline.</w:t>
      </w:r>
    </w:p>
    <w:p>
      <w:pPr>
        <w:pStyle w:val="BodyText"/>
      </w:pPr>
      <w:r>
        <w:t xml:space="preserve">For the loan this is a tailwind. A recovering equity reduces the fear discount embedded in the loan’s spread, increases the credibility of a par refinancing or take-out, and raises the value of the cushion beneath the loan (positive book equity of roughly $622 million sits below you). Equity strength does not de-risk the loan mechanically, since the loan was already money-good, but it removes the sentiment overhang that kept the spread wider than the credit warranted.</w:t>
      </w:r>
    </w:p>
    <w:p>
      <w:r>
        <w:pict>
          <v:rect style="width:0;height:1.5pt" o:hralign="center" o:hrstd="t" o:hr="t"/>
        </w:pict>
      </w:r>
    </w:p>
    <w:bookmarkEnd w:id="64"/>
    <w:bookmarkStart w:id="70" w:name="credit-thesis-long"/>
    <w:p>
      <w:pPr>
        <w:pStyle w:val="Heading1"/>
      </w:pPr>
      <w:r>
        <w:t xml:space="preserve">13. Credit Thesis (Long)</w:t>
      </w:r>
    </w:p>
    <w:bookmarkStart w:id="65" w:name="reasons-to-own"/>
    <w:p>
      <w:pPr>
        <w:pStyle w:val="Heading2"/>
      </w:pPr>
      <w:r>
        <w:t xml:space="preserve">13.1 Reasons To Own</w:t>
      </w:r>
    </w:p>
    <w:p>
      <w:pPr>
        <w:pStyle w:val="FirstParagraph"/>
      </w:pPr>
      <w:r>
        <w:t xml:space="preserve">The loan is money-good at roughly 1x net leverage with high recovery, positive free cash flow, $236 million cash, and no maturity until 2029. The spread is a full single-B spread for a sub-2x-levered first lien, which overpays for the actual credit risk. The two events that threaten a short, an M&amp;A take-out and a clean refinancing, both pay the long at par. The business is diversifying into growing manufacturer-funded and GLP-1 channels that lengthen the runway. And sentiment is turning, with the equity recovering and estimates rising, which narrows the fear discount.</w:t>
      </w:r>
    </w:p>
    <w:bookmarkEnd w:id="65"/>
    <w:bookmarkStart w:id="66" w:name="evidence"/>
    <w:p>
      <w:pPr>
        <w:pStyle w:val="Heading2"/>
      </w:pPr>
      <w:r>
        <w:t xml:space="preserve">13.2 Evidence</w:t>
      </w:r>
    </w:p>
    <w:p>
      <w:pPr>
        <w:pStyle w:val="FirstParagraph"/>
      </w:pPr>
      <w:r>
        <w:t xml:space="preserve">Q1 2026 showed interest covered roughly 6.5x on EBITDA, guidance raised even as revenue declined, Pharma Direct up 82%, subscriptions up 16%, and $236 million of cash. Multiple 2026 partnership and product launches (Ozempic pill, Foundayo, Zepbound KwikPen, Wegovy HD, Viatris, GoodRx Companion) evidence a real second engine. Analyst estimate revisions turned up over three months, and the equity is up sharply over ninety days.</w:t>
      </w:r>
    </w:p>
    <w:bookmarkEnd w:id="66"/>
    <w:bookmarkStart w:id="67" w:name="catalysts-for-the-long"/>
    <w:p>
      <w:pPr>
        <w:pStyle w:val="Heading2"/>
      </w:pPr>
      <w:r>
        <w:t xml:space="preserve">13.3 Catalysts For the Long</w:t>
      </w:r>
    </w:p>
    <w:p>
      <w:pPr>
        <w:pStyle w:val="FirstParagraph"/>
      </w:pPr>
      <w:r>
        <w:t xml:space="preserve">A stabilizing prescription-transaction print (even one flat quarter) re-rates the spread tighter. Continued Pharma Direct and GLP-1 momentum broadens the base. A refinancing announcement in 2027-2028 crystallizes par. An M&amp;A take-out crystallizes par early. And continued positive earnings revisions or a rating outlook improvement compress spread.</w:t>
      </w:r>
    </w:p>
    <w:bookmarkEnd w:id="67"/>
    <w:bookmarkStart w:id="68" w:name="Xfb1e446b2aac6b7d45cc9420656d6fec9d7db77"/>
    <w:p>
      <w:pPr>
        <w:pStyle w:val="Heading2"/>
      </w:pPr>
      <w:r>
        <w:t xml:space="preserve">13.4 Steelman of the Bear, and Why the Long Survives It</w:t>
      </w:r>
    </w:p>
    <w:p>
      <w:pPr>
        <w:pStyle w:val="FirstParagraph"/>
      </w:pPr>
      <w:r>
        <w:t xml:space="preserve">The strongest bear point is that the high-margin core is declining, EBITDA is guided down, and earnings quality is falling as low-margin pass-through revenue replaces high-margin transactions, so the loan can widen on a mark-to-market basis. The long survives this because the decline is absorbable many times over by a 1x-net balance sheet, because roughly 8 points of carry cushions a widening mark, and because the loan is repaid at par well before any decline could plausibly threaten principal. You are not betting the business improves. You are betting it survives and refinances, which the balance sheet all but guarantees, and you are paid well to wait.</w:t>
      </w:r>
    </w:p>
    <w:bookmarkEnd w:id="68"/>
    <w:bookmarkStart w:id="69" w:name="what-would-invalidate-the-long"/>
    <w:p>
      <w:pPr>
        <w:pStyle w:val="Heading2"/>
      </w:pPr>
      <w:r>
        <w:t xml:space="preserve">13.5 What Would Invalidate the Long</w:t>
      </w:r>
    </w:p>
    <w:p>
      <w:pPr>
        <w:pStyle w:val="FirstParagraph"/>
      </w:pPr>
      <w:r>
        <w:t xml:space="preserve">A large debt-funded acquisition that re-levers above 4x on a declining EBITDA base. Evidence of aggressive liability management or a collateral drop-down that subordinates the loan. Or an unexpectedly steep acceleration of decline toward a going-concern question, which the current cash and leverage make remote over the loan’s life. Absent these, spread volatility is a mark-to-market event, not a thesis break.</w:t>
      </w:r>
    </w:p>
    <w:p>
      <w:r>
        <w:pict>
          <v:rect style="width:0;height:1.5pt" o:hralign="center" o:hrstd="t" o:hr="t"/>
        </w:pict>
      </w:r>
    </w:p>
    <w:bookmarkEnd w:id="69"/>
    <w:bookmarkEnd w:id="70"/>
    <w:bookmarkStart w:id="71" w:name="key-risks-to-the-long"/>
    <w:p>
      <w:pPr>
        <w:pStyle w:val="Heading1"/>
      </w:pPr>
      <w:r>
        <w:t xml:space="preserve">14. Key Risks (to the Long)</w:t>
      </w:r>
    </w:p>
    <w:p>
      <w:pPr>
        <w:pStyle w:val="FirstParagraph"/>
      </w:pPr>
      <w:r>
        <w:rPr>
          <w:bCs/>
          <w:b/>
        </w:rPr>
        <w:t xml:space="preserve">Leveraging M&amp;A.</w:t>
      </w:r>
      <w:r>
        <w:t xml:space="preserve"> </w:t>
      </w:r>
      <w:r>
        <w:t xml:space="preserve">The clearest risk. Management lists M&amp;A among capital-allocation priorities. A large debt-funded deal would raise leverage and pressure the loan. Mitigant: even at 4x the loan remains well-covered on recovery, and the pari nature of any new first-lien debt would still leave GoodRx modestly levered by market standards.</w:t>
      </w:r>
    </w:p>
    <w:p>
      <w:pPr>
        <w:pStyle w:val="BodyText"/>
      </w:pPr>
      <w:r>
        <w:rPr>
          <w:bCs/>
          <w:b/>
        </w:rPr>
        <w:t xml:space="preserve">Mark-to-market spread widening.</w:t>
      </w:r>
      <w:r>
        <w:t xml:space="preserve"> </w:t>
      </w:r>
      <w:r>
        <w:t xml:space="preserve">A weak Q2 or Q3 print could widen the spread and mark the position down temporarily. Mitigant: carry absorbs it, and hold-to-par protects principal. This is a volatility risk, not a loss risk.</w:t>
      </w:r>
    </w:p>
    <w:p>
      <w:pPr>
        <w:pStyle w:val="BodyText"/>
      </w:pPr>
      <w:r>
        <w:rPr>
          <w:bCs/>
          <w:b/>
        </w:rPr>
        <w:t xml:space="preserve">Earnings-quality drift.</w:t>
      </w:r>
      <w:r>
        <w:t xml:space="preserve"> </w:t>
      </w:r>
      <w:r>
        <w:t xml:space="preserve">If Pharma Direct margins prove structurally thin and consolidated EBITDA falls faster than expected, free-cash-flow coverage compresses. Mitigant: coverage has large headroom to compress before debt service is threatened, and discretionary sales-and-marketing spend can be pulled to defend cash.</w:t>
      </w:r>
    </w:p>
    <w:p>
      <w:pPr>
        <w:pStyle w:val="BodyText"/>
      </w:pPr>
      <w:r>
        <w:rPr>
          <w:bCs/>
          <w:b/>
        </w:rPr>
        <w:t xml:space="preserve">Liability-management or drop-down risk.</w:t>
      </w:r>
      <w:r>
        <w:t xml:space="preserve"> </w:t>
      </w:r>
      <w:r>
        <w:t xml:space="preserve">Covenant-lite documentation warrants a close read of incremental, restricted-payment, and investment baskets. Mitigant: simple structure and low leverage make aggressive moves less likely and less necessary, but confirm in the credit agreement before sizing up.</w:t>
      </w:r>
    </w:p>
    <w:p>
      <w:pPr>
        <w:pStyle w:val="BodyText"/>
      </w:pPr>
      <w:r>
        <w:rPr>
          <w:bCs/>
          <w:b/>
        </w:rPr>
        <w:t xml:space="preserve">Opportunity cost.</w:t>
      </w:r>
      <w:r>
        <w:t xml:space="preserve"> </w:t>
      </w:r>
      <w:r>
        <w:t xml:space="preserve">You are accepting a declining-EBITDA name for the carry. Mitigant: the spread-per-turn-of-leverage advantage compensates, and few single-B first liens offer this safety at this spread.</w:t>
      </w:r>
    </w:p>
    <w:p>
      <w:r>
        <w:pict>
          <v:rect style="width:0;height:1.5pt" o:hralign="center" o:hrstd="t" o:hr="t"/>
        </w:pict>
      </w:r>
    </w:p>
    <w:bookmarkEnd w:id="71"/>
    <w:bookmarkStart w:id="72" w:name="management"/>
    <w:p>
      <w:pPr>
        <w:pStyle w:val="Heading1"/>
      </w:pPr>
      <w:r>
        <w:t xml:space="preserve">15. Management</w:t>
      </w:r>
    </w:p>
    <w:p>
      <w:pPr>
        <w:pStyle w:val="FirstParagraph"/>
      </w:pPr>
      <w:r>
        <w:t xml:space="preserve">CEO Wendy Barnes (since January 2025) and CFO Chris McGinnis (since February 2025) are both PBM-industry veterans, which gives them credibility both in executing the manufacturer-facing pivot and in refinancing the loan with lenders who understand the reimbursement model. The founders retain voting control through a dual-class structure, so strategy is stable. Capital allocation is shareholder-friendly, with buybacks alongside debt service, which the short reads as a negative. The long read is that buybacks are affordable only because leverage is so low, and management’s willingness to return capital signals confidence in the durability of liquidity and cash flow. A team that felt liquidity was at risk would be hoarding cash, not repurchasing stock.</w:t>
      </w:r>
    </w:p>
    <w:p>
      <w:r>
        <w:pict>
          <v:rect style="width:0;height:1.5pt" o:hralign="center" o:hrstd="t" o:hr="t"/>
        </w:pict>
      </w:r>
    </w:p>
    <w:bookmarkEnd w:id="72"/>
    <w:bookmarkStart w:id="73" w:name="recent-news-trailing-12-months"/>
    <w:p>
      <w:pPr>
        <w:pStyle w:val="Heading1"/>
      </w:pPr>
      <w:r>
        <w:t xml:space="preserve">16. Recent News (Trailing ~12 Months)</w:t>
      </w:r>
    </w:p>
    <w:p>
      <w:pPr>
        <w:pStyle w:val="FirstParagraph"/>
      </w:pPr>
      <w:r>
        <w:t xml:space="preserve">Recent developments are net supportive of the credit. Q1 2026 (May 6) showed a 4% revenue decline but raised full-year guidance, with Pharma Direct up 82% and subscriptions up 16%. Through 2026 the company launched or expanded a series of GLP-1 and manufacturer programs: the oral Ozempic self-pay offering, Eli Lilly’s oral orforglipron (Foundayo) and Zepbound KwikPen, Wegovy HD at $399 per month, and a 17-brand Viatris collaboration. It launched GoodRx Companion, a $14.99 per month subscription, on May 27, 2026. The equity was upgraded to a Zacks Buy on July 8, 2026 on rising estimates. Q2 2026 results are scheduled for August 5, 2026, the next catalyst. A June 18, 2026 8-K reporting a material event should be reviewed for details before presenting, as it postdates the core dataset here.</w:t>
      </w:r>
    </w:p>
    <w:p>
      <w:r>
        <w:pict>
          <v:rect style="width:0;height:1.5pt" o:hralign="center" o:hrstd="t" o:hr="t"/>
        </w:pict>
      </w:r>
    </w:p>
    <w:bookmarkEnd w:id="73"/>
    <w:bookmarkStart w:id="84" w:name="X1d963ad4b72af8bf19792702c3370fedbdee000"/>
    <w:p>
      <w:pPr>
        <w:pStyle w:val="Heading1"/>
      </w:pPr>
      <w:r>
        <w:t xml:space="preserve">17. Questions You Should Expect (55 Q&amp;A with Model Answers)</w:t>
      </w:r>
    </w:p>
    <w:bookmarkStart w:id="74" w:name="thesis-and-trade-construction"/>
    <w:p>
      <w:pPr>
        <w:pStyle w:val="Heading2"/>
      </w:pPr>
      <w:r>
        <w:t xml:space="preserve">Thesis and Trade Construction</w:t>
      </w:r>
    </w:p>
    <w:p>
      <w:pPr>
        <w:pStyle w:val="FirstParagraph"/>
      </w:pPr>
      <w:r>
        <w:rPr>
          <w:bCs/>
          <w:b/>
        </w:rPr>
        <w:t xml:space="preserve">Q1. Why own the debt of a business in structural decline?</w:t>
      </w:r>
      <w:r>
        <w:t xml:space="preserve"> </w:t>
      </w:r>
      <w:r>
        <w:t xml:space="preserve">Because the credit does not require the business to grow, only to survive and refinance, and at roughly 1x net leverage with $236 million cash and positive free cash flow that is a very low bar. I am paid a full single-B spread for a sub-2x-levered first lien. I am buying safety and carry that the market has mispriced because it is anchored on the equity’s decline story.</w:t>
      </w:r>
    </w:p>
    <w:p>
      <w:pPr>
        <w:pStyle w:val="BodyText"/>
      </w:pPr>
      <w:r>
        <w:rPr>
          <w:bCs/>
          <w:b/>
        </w:rPr>
        <w:t xml:space="preserve">Q2. The loan is near par. Where is the upside?</w:t>
      </w:r>
      <w:r>
        <w:t xml:space="preserve"> </w:t>
      </w:r>
      <w:r>
        <w:t xml:space="preserve">The upside is carry plus protection, not capital appreciation. I earn roughly 8% all-in, I capture roughly a point of pull-to-par from a modest-discount entry, and I hold optionality on an early par take-out. The return distribution is asymmetric: high protected carry, shallow downside because it is money-good, and several ways to end at par.</w:t>
      </w:r>
    </w:p>
    <w:p>
      <w:pPr>
        <w:pStyle w:val="BodyText"/>
      </w:pPr>
      <w:r>
        <w:rPr>
          <w:bCs/>
          <w:b/>
        </w:rPr>
        <w:t xml:space="preserve">Q3. What is your entry, target, and horizon?</w:t>
      </w:r>
      <w:r>
        <w:t xml:space="preserve"> </w:t>
      </w:r>
      <w:r>
        <w:t xml:space="preserve">Enter around 99, attractive to 98, add below. Target par plus carry, roughly a 9% twelve-month total return in the base case. Horizon twelve to twenty-four months, with natural exits at refinancing or take-out. Verify the live mark before execution.</w:t>
      </w:r>
    </w:p>
    <w:p>
      <w:pPr>
        <w:pStyle w:val="BodyText"/>
      </w:pPr>
      <w:r>
        <w:rPr>
          <w:bCs/>
          <w:b/>
        </w:rPr>
        <w:t xml:space="preserve">Q4. How do you size this?</w:t>
      </w:r>
      <w:r>
        <w:t xml:space="preserve"> </w:t>
      </w:r>
      <w:r>
        <w:t xml:space="preserve">As a core carry position, roughly 2% to 3% of NAV, toward the top of a single-B single-name limit given the safety. Illustratively $10 million to $15 million on a $500 million book. I size up on weakness rather than chasing, because the thesis improves as the price falls on a money-good credit.</w:t>
      </w:r>
    </w:p>
    <w:p>
      <w:pPr>
        <w:pStyle w:val="BodyText"/>
      </w:pPr>
      <w:r>
        <w:rPr>
          <w:bCs/>
          <w:b/>
        </w:rPr>
        <w:t xml:space="preserve">Q5. Your carry is positive. Spell out why that matters.</w:t>
      </w:r>
      <w:r>
        <w:t xml:space="preserve"> </w:t>
      </w:r>
      <w:r>
        <w:t xml:space="preserve">It means time is my friend. Unlike a short, where the roughly 8% coupon is a cost bleeding the position, here I receive it. I can hold patiently through mark-to-market noise and get paid to wait for par at refinancing or take-out. Positive carry plus hold-to-par is what makes the downside shallow.</w:t>
      </w:r>
    </w:p>
    <w:p>
      <w:pPr>
        <w:pStyle w:val="BodyText"/>
      </w:pPr>
      <w:r>
        <w:rPr>
          <w:bCs/>
          <w:b/>
        </w:rPr>
        <w:t xml:space="preserve">Q6. What is the single best reason this is mispriced?</w:t>
      </w:r>
      <w:r>
        <w:t xml:space="preserve"> </w:t>
      </w:r>
      <w:r>
        <w:t xml:space="preserve">Spread per turn of leverage. I am paid roughly the same absolute spread as a 4x-to-6x single-B first lien for roughly 1x net leverage. That is far more spread per unit of real credit risk. The market is charging a full business-risk premium that the balance sheet largely neutralizes.</w:t>
      </w:r>
    </w:p>
    <w:p>
      <w:pPr>
        <w:pStyle w:val="BodyText"/>
      </w:pPr>
      <w:r>
        <w:rPr>
          <w:bCs/>
          <w:b/>
        </w:rPr>
        <w:t xml:space="preserve">Q7. What is your edge over the market?</w:t>
      </w:r>
      <w:r>
        <w:t xml:space="preserve"> </w:t>
      </w:r>
      <w:r>
        <w:t xml:space="preserve">The market conflates the equity and the credit. Equity is down more than 80% and prices terminal decline. The loan only needs debt service and a 2029 refinancing, both easy at 1x leverage. Recognizing that the loan does not need the equity story to work, and that the fear discount in the spread is unwarranted, is the edge.</w:t>
      </w:r>
    </w:p>
    <w:bookmarkEnd w:id="74"/>
    <w:bookmarkStart w:id="75" w:name="X82258cdf4124f2cad615ae81683f4df872fe62b"/>
    <w:p>
      <w:pPr>
        <w:pStyle w:val="Heading2"/>
      </w:pPr>
      <w:r>
        <w:t xml:space="preserve">The Business Decline and Whether It Threatens the Loan</w:t>
      </w:r>
    </w:p>
    <w:p>
      <w:pPr>
        <w:pStyle w:val="FirstParagraph"/>
      </w:pPr>
      <w:r>
        <w:rPr>
          <w:bCs/>
          <w:b/>
        </w:rPr>
        <w:t xml:space="preserve">Q8. Prescription transactions fell 24%. Doesn’t that scare you as a lender?</w:t>
      </w:r>
      <w:r>
        <w:t xml:space="preserve"> </w:t>
      </w:r>
      <w:r>
        <w:t xml:space="preserve">It is a real decline and I underwrite it honestly. But scale it against the balance sheet. Even if that segment kept shrinking, GoodRx generates positive free cash flow, holds $236 million cash, and is diversifying into Pharma Direct and subscriptions. The decline pressures the equity value. It does not come close to threatening a 1x-net-levered first lien over a three-year horizon.</w:t>
      </w:r>
    </w:p>
    <w:p>
      <w:pPr>
        <w:pStyle w:val="BodyText"/>
      </w:pPr>
      <w:r>
        <w:rPr>
          <w:bCs/>
          <w:b/>
        </w:rPr>
        <w:t xml:space="preserve">Q9. Where does the core revenue bottom, and do you need it to?</w:t>
      </w:r>
      <w:r>
        <w:t xml:space="preserve"> </w:t>
      </w:r>
      <w:r>
        <w:t xml:space="preserve">I would like it to stabilize and I think diversification plus GLP-1 helps, but critically I do not need it to for the loan to work. The credit is covered across a wide range of core-decline scenarios. My base and even bear EBITDA paths keep gross leverage below roughly 2.4x. The loan is money-good whether or not the core finds a precise floor.</w:t>
      </w:r>
    </w:p>
    <w:p>
      <w:pPr>
        <w:pStyle w:val="BodyText"/>
      </w:pPr>
      <w:r>
        <w:rPr>
          <w:bCs/>
          <w:b/>
        </w:rPr>
        <w:t xml:space="preserve">Q10. Model EBITDA down to a stress case. Is the loan still fine?</w:t>
      </w:r>
      <w:r>
        <w:t xml:space="preserve"> </w:t>
      </w:r>
      <w:r>
        <w:t xml:space="preserve">At a stressed $180 million of Adjusted EBITDA, well below the guided $235 million-plus, interest coverage is still roughly 4.6x and gross leverage roughly 2.7x. The loan remains comfortably serviceable and money-good. You have to imagine EBITDA roughly halving toward the interest bill before debt service is even a question, which the cash balance alone would bridge for years.</w:t>
      </w:r>
    </w:p>
    <w:p>
      <w:pPr>
        <w:pStyle w:val="BodyText"/>
      </w:pPr>
      <w:r>
        <w:rPr>
          <w:bCs/>
          <w:b/>
        </w:rPr>
        <w:t xml:space="preserve">Q11. Pharma Direct is lower margin. Doesn’t that erode your coverage?</w:t>
      </w:r>
      <w:r>
        <w:t xml:space="preserve"> </w:t>
      </w:r>
      <w:r>
        <w:t xml:space="preserve">It lowers the blended margin, yes, and I underwrite the lower quality. But it grows the revenue base and the cash flow in absolute terms, and it lengthens the runway into growing manufacturer-funded and GLP-1 channels. For a lender, a larger, more durable, slightly-lower-margin cash flow is more refinanceable than a smaller, higher-margin, single-stream one. Coverage has ample headroom to absorb the mix shift.</w:t>
      </w:r>
    </w:p>
    <w:p>
      <w:pPr>
        <w:pStyle w:val="BodyText"/>
      </w:pPr>
      <w:r>
        <w:rPr>
          <w:bCs/>
          <w:b/>
        </w:rPr>
        <w:t xml:space="preserve">Q12. Isn’t the reimbursement gross-up on the balance sheet a red flag?</w:t>
      </w:r>
      <w:r>
        <w:t xml:space="preserve"> </w:t>
      </w:r>
      <w:r>
        <w:t xml:space="preserve">It is a quality-of-balance-sheet item I monitor, not a solvency issue. The roughly $753 million asset and $751 million liability are matched, so net exposure is small, and neither sits ahead of my first lien. It reflects the pass-through nature of consumer direct pricing. I would want disclosure on collection-versus-payment timing, but it does not impair the loan.</w:t>
      </w:r>
    </w:p>
    <w:bookmarkEnd w:id="75"/>
    <w:bookmarkStart w:id="76" w:name="earnings-quality-and-cash-flow"/>
    <w:p>
      <w:pPr>
        <w:pStyle w:val="Heading2"/>
      </w:pPr>
      <w:r>
        <w:t xml:space="preserve">Earnings Quality and Cash Flow</w:t>
      </w:r>
    </w:p>
    <w:p>
      <w:pPr>
        <w:pStyle w:val="FirstParagraph"/>
      </w:pPr>
      <w:r>
        <w:rPr>
          <w:bCs/>
          <w:b/>
        </w:rPr>
        <w:t xml:space="preserve">Q13. Walk me from EBITDA to the free cash flow you actually underwrite.</w:t>
      </w:r>
      <w:r>
        <w:t xml:space="preserve"> </w:t>
      </w:r>
      <w:r>
        <w:t xml:space="preserve">Start near $256 million LTM Adjusted EBITDA. Subtract roughly $80 million capitalized software, which I treat as real cash, subtract roughly $39 million cash interest, and account for taxes and working capital. You land near $80 million free cash flow. Against $39 million interest and $5 million amortization that is roughly 1.8x cash coverage, before touching $236 million of cash. I underwrite the loan on that honest number, and it holds.</w:t>
      </w:r>
    </w:p>
    <w:p>
      <w:pPr>
        <w:pStyle w:val="BodyText"/>
      </w:pPr>
      <w:r>
        <w:rPr>
          <w:bCs/>
          <w:b/>
        </w:rPr>
        <w:t xml:space="preserve">Q14. So conversion is only about 30%. Why is that acceptable?</w:t>
      </w:r>
      <w:r>
        <w:t xml:space="preserve"> </w:t>
      </w:r>
      <w:r>
        <w:t xml:space="preserve">Because 30% conversion on a business at 1x net leverage still produces far more cash than the debt requires. Low conversion would worry me at 5x leverage. At 1x it is a margin-quality footnote, not a debt-service risk. The absolute cash generated dwarfs the absolute claims on it.</w:t>
      </w:r>
    </w:p>
    <w:p>
      <w:pPr>
        <w:pStyle w:val="BodyText"/>
      </w:pPr>
      <w:r>
        <w:rPr>
          <w:bCs/>
          <w:b/>
        </w:rPr>
        <w:t xml:space="preserve">Q15. Capitalized software is a real cost. Have you penalized for it?</w:t>
      </w:r>
      <w:r>
        <w:t xml:space="preserve"> </w:t>
      </w:r>
      <w:r>
        <w:t xml:space="preserve">Yes. I deduct the full roughly $80 million per year in getting to free cash flow, rather than adding it back the way an EBITDA multiple implicitly does. Even after that penalty, free cash flow covers interest and amortization with room. That is the conservative way to underwrite it and the loan still passes.</w:t>
      </w:r>
    </w:p>
    <w:p>
      <w:pPr>
        <w:pStyle w:val="BodyText"/>
      </w:pPr>
      <w:r>
        <w:rPr>
          <w:bCs/>
          <w:b/>
        </w:rPr>
        <w:t xml:space="preserve">Q16. Stock comp is roughly 8% of revenue. Does that concern you as a creditor?</w:t>
      </w:r>
      <w:r>
        <w:t xml:space="preserve"> </w:t>
      </w:r>
      <w:r>
        <w:t xml:space="preserve">As a creditor, less than it concerns an equity holder, because stock comp is non-cash and dilutes owners rather than draining the cash that services my loan. In a stress scenario where the equity is impaired, some comp might need to become cash, which I account for as a modest additional draw. It does not move the coverage conclusion at 1x leverage.</w:t>
      </w:r>
    </w:p>
    <w:p>
      <w:pPr>
        <w:pStyle w:val="BodyText"/>
      </w:pPr>
      <w:r>
        <w:rPr>
          <w:bCs/>
          <w:b/>
        </w:rPr>
        <w:t xml:space="preserve">Q17. GAAP net income is barely positive. Doesn’t that worry you?</w:t>
      </w:r>
      <w:r>
        <w:t xml:space="preserve"> </w:t>
      </w:r>
      <w:r>
        <w:t xml:space="preserve">The thin GAAP net income reflects tax-valuation and stock-comp noise on a small pre-tax base, not weak cash generation. I underwrite cash flow and coverage, both of which are healthy. Thin accounting profit at high cash conversion relative to the debt is a quality nuance, not a credit problem.</w:t>
      </w:r>
    </w:p>
    <w:bookmarkEnd w:id="76"/>
    <w:bookmarkStart w:id="77" w:name="trumprx-regulation-litigation"/>
    <w:p>
      <w:pPr>
        <w:pStyle w:val="Heading2"/>
      </w:pPr>
      <w:r>
        <w:t xml:space="preserve">TrumpRx, Regulation, Litigation</w:t>
      </w:r>
    </w:p>
    <w:p>
      <w:pPr>
        <w:pStyle w:val="FirstParagraph"/>
      </w:pPr>
      <w:r>
        <w:rPr>
          <w:bCs/>
          <w:b/>
        </w:rPr>
        <w:t xml:space="preserve">Q18. Isn’t TrumpRx an existential threat to GoodRx’s core?</w:t>
      </w:r>
      <w:r>
        <w:t xml:space="preserve"> </w:t>
      </w:r>
      <w:r>
        <w:t xml:space="preserve">Over a long horizon it commoditizes price transparency, which I acknowledge. Over this loan’s horizon, GoodRx is a named distribution partner benefiting from the channel, and any erosion is gradual. The loan matures in 2029 and is money-good long before a worst-case policy scenario could fully develop. The spread already compensates for the uncertainty.</w:t>
      </w:r>
    </w:p>
    <w:p>
      <w:pPr>
        <w:pStyle w:val="BodyText"/>
      </w:pPr>
      <w:r>
        <w:rPr>
          <w:bCs/>
          <w:b/>
        </w:rPr>
        <w:t xml:space="preserve">Q19. If MFN pricing compresses the whole discount pool, what happens to your loan?</w:t>
      </w:r>
      <w:r>
        <w:t xml:space="preserve"> </w:t>
      </w:r>
      <w:r>
        <w:t xml:space="preserve">Margins in the legacy pool compress gradually, but the company is already migrating toward manufacturer-funded revenue that MFN and direct-to-consumer dynamics actually feed. Even a compressed core leaves a cash-generative, low-levered borrower. MFN is a slow structural headwind that a three-year, 1x-levered credit absorbs.</w:t>
      </w:r>
    </w:p>
    <w:p>
      <w:pPr>
        <w:pStyle w:val="BodyText"/>
      </w:pPr>
      <w:r>
        <w:rPr>
          <w:bCs/>
          <w:b/>
        </w:rPr>
        <w:t xml:space="preserve">Q20. Quantify the regulatory downside to the credit.</w:t>
      </w:r>
      <w:r>
        <w:t xml:space="preserve"> </w:t>
      </w:r>
      <w:r>
        <w:t xml:space="preserve">I cannot put a precise figure on policy erosion, which is why I lean on the balance sheet rather than a point estimate. The relevant test is how much EBITDA would have to fall to threaten debt service, and the answer is roughly a halving, over a period during which cash alone bridges years of interest. Regulation is a spread-volatility risk, not a principal risk here.</w:t>
      </w:r>
    </w:p>
    <w:p>
      <w:pPr>
        <w:pStyle w:val="BodyText"/>
      </w:pPr>
      <w:r>
        <w:rPr>
          <w:bCs/>
          <w:b/>
        </w:rPr>
        <w:t xml:space="preserve">Q21. The ISP antitrust suit attacks a core mechanism. Isn’t that a real tail?</w:t>
      </w:r>
      <w:r>
        <w:t xml:space="preserve"> </w:t>
      </w:r>
      <w:r>
        <w:t xml:space="preserve">It is the most legitimate structural tail, since an adverse outcome could impair the integrated savings mechanism. I treat it as a monitorable risk, not a base case. A monetary settlement is easily absorbed by $236 million cash. An injunction against the mechanism would pressure revenue, but even a materially smaller GoodRx services this debt, and litigation of this kind typically resolves in dollars, not structural dismantling. I would size with this tail in mind and watch the docket.</w:t>
      </w:r>
    </w:p>
    <w:p>
      <w:pPr>
        <w:pStyle w:val="BodyText"/>
      </w:pPr>
      <w:r>
        <w:rPr>
          <w:bCs/>
          <w:b/>
        </w:rPr>
        <w:t xml:space="preserve">Q22. The privacy settlement was rejected once. Does that matter to the loan?</w:t>
      </w:r>
      <w:r>
        <w:t xml:space="preserve"> </w:t>
      </w:r>
      <w:r>
        <w:t xml:space="preserve">Minimally. It is roughly $30 million accrued against $236 million cash, comfortably absorbed. Its main relevance is as a headline that could widen the spread temporarily, which for a long holder is an add opportunity on an unchanged money-good credit.</w:t>
      </w:r>
    </w:p>
    <w:bookmarkEnd w:id="77"/>
    <w:bookmarkStart w:id="78" w:name="capital-structure-recovery-covenants"/>
    <w:p>
      <w:pPr>
        <w:pStyle w:val="Heading2"/>
      </w:pPr>
      <w:r>
        <w:t xml:space="preserve">Capital Structure, Recovery, Covenants</w:t>
      </w:r>
    </w:p>
    <w:p>
      <w:pPr>
        <w:pStyle w:val="FirstParagraph"/>
      </w:pPr>
      <w:r>
        <w:rPr>
          <w:bCs/>
          <w:b/>
        </w:rPr>
        <w:t xml:space="preserve">Q23. What is your recovery in a genuine downside?</w:t>
      </w:r>
      <w:r>
        <w:t xml:space="preserve"> </w:t>
      </w:r>
      <w:r>
        <w:t xml:space="preserve">High. It is the only debt, first lien on substantially all assets and 100% of the operating company’s equity, with full guarantees. Even at a stressed $180 million EBITDA and a distressed multiple, enterprise value covers the roughly $494 million loan, and the going-concern franchise (nearly 25 million consumers, 70,000 pharmacies) has real value. This high recovery is why the downside is shallow.</w:t>
      </w:r>
    </w:p>
    <w:p>
      <w:pPr>
        <w:pStyle w:val="BodyText"/>
      </w:pPr>
      <w:r>
        <w:rPr>
          <w:bCs/>
          <w:b/>
        </w:rPr>
        <w:t xml:space="preserve">Q24. Covenant-lite means no early warning. Isn’t that bad for a lender?</w:t>
      </w:r>
      <w:r>
        <w:t xml:space="preserve"> </w:t>
      </w:r>
      <w:r>
        <w:t xml:space="preserve">It cuts both ways, and for this credit it cuts in my favor. No maintenance covenant means nothing forces a restructuring as EBITDA drifts down, so the credit can weather a long decline without a technical default. At 1x net leverage I do not need a covenant to protect me, I have the balance sheet. The springing 8.2x test is so far away it is irrelevant.</w:t>
      </w:r>
    </w:p>
    <w:p>
      <w:pPr>
        <w:pStyle w:val="BodyText"/>
      </w:pPr>
      <w:r>
        <w:rPr>
          <w:bCs/>
          <w:b/>
        </w:rPr>
        <w:t xml:space="preserve">Q25. Could they raise debt ahead of you or move collateral, J. Crew or Serta style?</w:t>
      </w:r>
      <w:r>
        <w:t xml:space="preserve"> </w:t>
      </w:r>
      <w:r>
        <w:t xml:space="preserve">That is the risk I most want the credit agreement to rule out, so I would read the incremental, restricted-payment, and investment baskets closely before sizing up. The simple structure and low leverage make aggressive liability management less likely and less necessary, and there is no current sign of it. But I treat drop-down and priming capacity as a real diligence item, not an assumption.</w:t>
      </w:r>
    </w:p>
    <w:p>
      <w:pPr>
        <w:pStyle w:val="BodyText"/>
      </w:pPr>
      <w:r>
        <w:rPr>
          <w:bCs/>
          <w:b/>
        </w:rPr>
        <w:t xml:space="preserve">Q26. Is there any structural subordination?</w:t>
      </w:r>
      <w:r>
        <w:t xml:space="preserve"> </w:t>
      </w:r>
      <w:r>
        <w:t xml:space="preserve">No meaningful subordination. The borrower is the operating company, guaranteed by intermediate holdings and domestic subsidiaries, secured by substantially all assets. There is no holdco debt above or structurally senior claim ahead of the loan. Clean.</w:t>
      </w:r>
    </w:p>
    <w:p>
      <w:pPr>
        <w:pStyle w:val="BodyText"/>
      </w:pPr>
      <w:r>
        <w:rPr>
          <w:bCs/>
          <w:b/>
        </w:rPr>
        <w:t xml:space="preserve">Q27. How much cash sits ahead of your claim in a wind-down?</w:t>
      </w:r>
      <w:r>
        <w:t xml:space="preserve"> </w:t>
      </w:r>
      <w:r>
        <w:t xml:space="preserve">Effectively none in terms of debt. The reimbursement liabilities are matched by reimbursement assets and relate to pass-through flows, not senior financing. In a liquidation the first lien has the senior claim on the collateral. That is the strongest possible position in this structure.</w:t>
      </w:r>
    </w:p>
    <w:bookmarkEnd w:id="78"/>
    <w:bookmarkStart w:id="79" w:name="refinancing-and-liquidity"/>
    <w:p>
      <w:pPr>
        <w:pStyle w:val="Heading2"/>
      </w:pPr>
      <w:r>
        <w:t xml:space="preserve">Refinancing and Liquidity</w:t>
      </w:r>
    </w:p>
    <w:p>
      <w:pPr>
        <w:pStyle w:val="FirstParagraph"/>
      </w:pPr>
      <w:r>
        <w:rPr>
          <w:bCs/>
          <w:b/>
        </w:rPr>
        <w:t xml:space="preserve">Q28. There is no maturity until 2029. Why is that a positive rather than just neutral?</w:t>
      </w:r>
      <w:r>
        <w:t xml:space="preserve"> </w:t>
      </w:r>
      <w:r>
        <w:t xml:space="preserve">Because it hands control of the timeline to the borrower and the lender rather than to a wall. GoodRx has three years and ample cash to stabilize, refinance opportunistically since the loan is callable at par, or be acquired. A long holder is never forced to sell into a bad market. I hold for carry and collect par at the borrower’s chosen exit.</w:t>
      </w:r>
    </w:p>
    <w:p>
      <w:pPr>
        <w:pStyle w:val="BodyText"/>
      </w:pPr>
      <w:r>
        <w:rPr>
          <w:bCs/>
          <w:b/>
        </w:rPr>
        <w:t xml:space="preserve">Q29. Will it actually refinance cleanly in 2028?</w:t>
      </w:r>
      <w:r>
        <w:t xml:space="preserve"> </w:t>
      </w:r>
      <w:r>
        <w:t xml:space="preserve">At roughly 1x net leverage with positive free cash flow, GoodRx is precisely the profile that refinances in most environments. The risk is a simultaneously shut market and a deteriorated business in 2028, which I monitor as a trigger. Base case, it refinances at or near par, and I would expect early refinancing if spreads tighten given the par call.</w:t>
      </w:r>
    </w:p>
    <w:p>
      <w:pPr>
        <w:pStyle w:val="BodyText"/>
      </w:pPr>
      <w:r>
        <w:rPr>
          <w:bCs/>
          <w:b/>
        </w:rPr>
        <w:t xml:space="preserve">Q30. Liquidity looks ample. Confirm the numbers.</w:t>
      </w:r>
      <w:r>
        <w:t xml:space="preserve"> </w:t>
      </w:r>
      <w:r>
        <w:t xml:space="preserve">Cash of $235.7 million plus an undrawn roughly $88 million revolver, against roughly $39 million annual interest and $5 million amortization. That is more than six years of debt service in cash alone, before any operating cash flow. Liquidity is a clear strength and a core pillar of the long.</w:t>
      </w:r>
    </w:p>
    <w:p>
      <w:pPr>
        <w:pStyle w:val="BodyText"/>
      </w:pPr>
      <w:r>
        <w:rPr>
          <w:bCs/>
          <w:b/>
        </w:rPr>
        <w:t xml:space="preserve">Q31. Does the excess-cash-flow sweep help me?</w:t>
      </w:r>
      <w:r>
        <w:t xml:space="preserve"> </w:t>
      </w:r>
      <w:r>
        <w:t xml:space="preserve">Modestly. After capex, interest, and permitted payments, the sweep is small in practice given active buybacks, but it does chip at the balance and it is directionally lender-friendly. It is a minor positive on top of an already strong structure.</w:t>
      </w:r>
    </w:p>
    <w:bookmarkEnd w:id="79"/>
    <w:bookmarkStart w:id="80" w:name="capital-allocation-and-ma"/>
    <w:p>
      <w:pPr>
        <w:pStyle w:val="Heading2"/>
      </w:pPr>
      <w:r>
        <w:t xml:space="preserve">Capital Allocation and M&amp;A</w:t>
      </w:r>
    </w:p>
    <w:p>
      <w:pPr>
        <w:pStyle w:val="FirstParagraph"/>
      </w:pPr>
      <w:r>
        <w:rPr>
          <w:bCs/>
          <w:b/>
        </w:rPr>
        <w:t xml:space="preserve">Q32. Management buys back stock instead of paying down debt. Doesn’t that hurt you?</w:t>
      </w:r>
      <w:r>
        <w:t xml:space="preserve"> </w:t>
      </w:r>
      <w:r>
        <w:t xml:space="preserve">The short reads it as a negative. I read it as a signal and as affordable. Buybacks at 1x net leverage do not meaningfully impair coverage or recovery, and a management repurchasing stock is signaling confidence in liquidity, not defending against distress. If they felt cash was at risk they would hoard it. I would prefer debt paydown at the margin, but the current policy does not threaten the loan.</w:t>
      </w:r>
    </w:p>
    <w:p>
      <w:pPr>
        <w:pStyle w:val="BodyText"/>
      </w:pPr>
      <w:r>
        <w:rPr>
          <w:bCs/>
          <w:b/>
        </w:rPr>
        <w:t xml:space="preserve">Q33. What if they do a large debt-funded acquisition?</w:t>
      </w:r>
      <w:r>
        <w:t xml:space="preserve"> </w:t>
      </w:r>
      <w:r>
        <w:t xml:space="preserve">That is my main risk and my main reassessment trigger. A deal that pushes gross leverage above roughly 4x on a declining EBITDA base would pressure the loan and I would trim. Mitigant: even at 4x, recovery protects principal, and any new first-lien debt would be pari rather than priming, leaving GoodRx modestly levered by market standards. I size the position to survive this and I watch for M&amp;A signals.</w:t>
      </w:r>
    </w:p>
    <w:p>
      <w:pPr>
        <w:pStyle w:val="BodyText"/>
      </w:pPr>
      <w:r>
        <w:rPr>
          <w:bCs/>
          <w:b/>
        </w:rPr>
        <w:t xml:space="preserve">Q34. Isn’t a low-leverage, cash-generative, depressed company an obvious take-out target? How does that affect you?</w:t>
      </w:r>
      <w:r>
        <w:t xml:space="preserve"> </w:t>
      </w:r>
      <w:r>
        <w:t xml:space="preserve">It is a credible target, and for the long that is a tailwind, not a threat. A change of control repays the term loan at par. So the very scenario that caps a short accelerates the long to par plus accrued carry. I am happy to own a loan with embedded par-take-out optionality.</w:t>
      </w:r>
    </w:p>
    <w:bookmarkEnd w:id="80"/>
    <w:bookmarkStart w:id="81" w:name="competition-and-industry"/>
    <w:p>
      <w:pPr>
        <w:pStyle w:val="Heading2"/>
      </w:pPr>
      <w:r>
        <w:t xml:space="preserve">Competition and Industry</w:t>
      </w:r>
    </w:p>
    <w:p>
      <w:pPr>
        <w:pStyle w:val="FirstParagraph"/>
      </w:pPr>
      <w:r>
        <w:rPr>
          <w:bCs/>
          <w:b/>
        </w:rPr>
        <w:t xml:space="preserve">Q35. SingleCare and Amazon are real competitors. Why are you comfortable lending here?</w:t>
      </w:r>
      <w:r>
        <w:t xml:space="preserve"> </w:t>
      </w:r>
      <w:r>
        <w:t xml:space="preserve">Because competition pressures margins and equity value, not debt service at 1x leverage. GoodRx remains the category leader with the broadest network and nearly 25 million consumers. Even in a commoditizing category, that franchise generates far more cash than the debt requires. I am lending against a leading, cash-generative franchise, not betting it wins every price comparison.</w:t>
      </w:r>
    </w:p>
    <w:p>
      <w:pPr>
        <w:pStyle w:val="BodyText"/>
      </w:pPr>
      <w:r>
        <w:rPr>
          <w:bCs/>
          <w:b/>
        </w:rPr>
        <w:t xml:space="preserve">Q36. Zero switching costs mean no moat. Rebut from a credit view.</w:t>
      </w:r>
      <w:r>
        <w:t xml:space="preserve"> </w:t>
      </w:r>
      <w:r>
        <w:t xml:space="preserve">Low consumer switching costs cap pricing power, which is a margin and equity concern. On the institutional side, GoodRx’s integration into PBM reimbursement through integrated savings programs creates real friction and stickiness. For a creditor, the combination of a sticky institutional layer and a large, cash-generative consumer franchise is more than sufficient collateral for a 1x-levered first lien.</w:t>
      </w:r>
    </w:p>
    <w:p>
      <w:pPr>
        <w:pStyle w:val="BodyText"/>
      </w:pPr>
      <w:r>
        <w:rPr>
          <w:bCs/>
          <w:b/>
        </w:rPr>
        <w:t xml:space="preserve">Q37. Could the category simply disappear as manufacturers go direct?</w:t>
      </w:r>
      <w:r>
        <w:t xml:space="preserve"> </w:t>
      </w:r>
      <w:r>
        <w:t xml:space="preserve">Manufacturers going direct is exactly what Pharma Direct monetizes, so GoodRx is positioned on both sides of that shift. The category evolves rather than disappears, and GoodRx is repositioning into the growing parts. Over the loan’s life this is an evolution the balance sheet easily absorbs.</w:t>
      </w:r>
    </w:p>
    <w:p>
      <w:pPr>
        <w:pStyle w:val="BodyText"/>
      </w:pPr>
      <w:r>
        <w:rPr>
          <w:bCs/>
          <w:b/>
        </w:rPr>
        <w:t xml:space="preserve">Q38. Is GLP-1 a real credit positive or just hype?</w:t>
      </w:r>
      <w:r>
        <w:t xml:space="preserve"> </w:t>
      </w:r>
      <w:r>
        <w:t xml:space="preserve">It is a real revenue and cash-flow positive landing in Pharma Direct now, evidenced by the string of 2026 launches. The margins are lower than legacy transactions, but the incremental cash flow lengthens the runway the loan is secured against. For a lender, more durable cash flow from a secular growth category is a genuine positive.</w:t>
      </w:r>
    </w:p>
    <w:bookmarkEnd w:id="81"/>
    <w:bookmarkStart w:id="82" w:name="financials-modeling-relative-value"/>
    <w:p>
      <w:pPr>
        <w:pStyle w:val="Heading2"/>
      </w:pPr>
      <w:r>
        <w:t xml:space="preserve">Financials, Modeling, Relative Value</w:t>
      </w:r>
    </w:p>
    <w:p>
      <w:pPr>
        <w:pStyle w:val="FirstParagraph"/>
      </w:pPr>
      <w:r>
        <w:rPr>
          <w:bCs/>
          <w:b/>
        </w:rPr>
        <w:t xml:space="preserve">Q39. What is your base-case 2026 and 2027 EBITDA and leverage?</w:t>
      </w:r>
      <w:r>
        <w:t xml:space="preserve"> </w:t>
      </w:r>
      <w:r>
        <w:t xml:space="preserve">Base 2026 Adjusted EBITDA around the guided $235 million, gross leverage roughly 2.1x, net roughly 1.1x. If decline persists, 2027 could drift to $210 million to $220 million, gross leverage roughly 2.3x to 2.4x. Every one of these keeps the loan comfortably money-good, which is the point.</w:t>
      </w:r>
    </w:p>
    <w:p>
      <w:pPr>
        <w:pStyle w:val="BodyText"/>
      </w:pPr>
      <w:r>
        <w:rPr>
          <w:bCs/>
          <w:b/>
        </w:rPr>
        <w:t xml:space="preserve">Q40. Interest coverage is 6.5x on EBITDA but under 2x on free cash flow. Which do you use?</w:t>
      </w:r>
      <w:r>
        <w:t xml:space="preserve"> </w:t>
      </w:r>
      <w:r>
        <w:t xml:space="preserve">I underwrite the strict free-cash-flow coverage of roughly 1.8x to 2.0x, and it passes. The EBITDA coverage of 6.5x is the cushion above that. Using the conservative measure, the loan still covers debt service with room and has $236 million of cash behind it. Both measures support the long.</w:t>
      </w:r>
    </w:p>
    <w:p>
      <w:pPr>
        <w:pStyle w:val="BodyText"/>
      </w:pPr>
      <w:r>
        <w:rPr>
          <w:bCs/>
          <w:b/>
        </w:rPr>
        <w:t xml:space="preserve">Q41. Goodwill is $430 million. Does an impairment hurt the loan?</w:t>
      </w:r>
      <w:r>
        <w:t xml:space="preserve"> </w:t>
      </w:r>
      <w:r>
        <w:t xml:space="preserve">An impairment is non-cash and trips no covenant here, so it is not a credit event. It could widen the spread on the headline, which for a long holder is an add opportunity. It does not affect debt service, recovery, or liquidity.</w:t>
      </w:r>
    </w:p>
    <w:p>
      <w:pPr>
        <w:pStyle w:val="BodyText"/>
      </w:pPr>
      <w:r>
        <w:rPr>
          <w:bCs/>
          <w:b/>
        </w:rPr>
        <w:t xml:space="preserve">Q42. What is the loan’s rate and spread sensitivity?</w:t>
      </w:r>
      <w:r>
        <w:t xml:space="preserve"> </w:t>
      </w:r>
      <w:r>
        <w:t xml:space="preserve">It is floating-rate SOFR, so it has minimal rate duration and its coupon rises if SOFR stays high, which supports the carry. Its price sensitivity is to credit spread. As a long, higher-for-longer rates increase my coupon income, and the credit thesis is a spread view, not a rates view.</w:t>
      </w:r>
    </w:p>
    <w:p>
      <w:pPr>
        <w:pStyle w:val="BodyText"/>
      </w:pPr>
      <w:r>
        <w:rPr>
          <w:bCs/>
          <w:b/>
        </w:rPr>
        <w:t xml:space="preserve">Q43. Against what would you frame the relative value?</w:t>
      </w:r>
      <w:r>
        <w:t xml:space="preserve"> </w:t>
      </w:r>
      <w:r>
        <w:t xml:space="preserve">Against the single-B first lien universe on spread per turn of leverage. GoodRx pays roughly SOFR+375 for about 1x net, while typical peers pay a similar spread for 4x to 6x. On that basis GoodRx is cheap, offering best-in-class leverage for a middle-of-pack spread. That is the relative-value core of the long.</w:t>
      </w:r>
    </w:p>
    <w:p>
      <w:pPr>
        <w:pStyle w:val="BodyText"/>
      </w:pPr>
      <w:r>
        <w:rPr>
          <w:bCs/>
          <w:b/>
        </w:rPr>
        <w:t xml:space="preserve">Q44. Why hasn’t the loan already tightened if it is this safe?</w:t>
      </w:r>
      <w:r>
        <w:t xml:space="preserve"> </w:t>
      </w:r>
      <w:r>
        <w:t xml:space="preserve">Because loan investors anchor on the equity narrative and the declining top line and price a full business-risk premium into the spread. Marks lag fundamentals, especially where the equity story is loud. The recent equity recovery and rising estimates are the early signals that the fear discount is starting to unwind, which is the catalyst for tightening.</w:t>
      </w:r>
    </w:p>
    <w:p>
      <w:pPr>
        <w:pStyle w:val="BodyText"/>
      </w:pPr>
      <w:r>
        <w:rPr>
          <w:bCs/>
          <w:b/>
        </w:rPr>
        <w:t xml:space="preserve">Q45. What total return do you underwrite, and how confident are you?</w:t>
      </w:r>
      <w:r>
        <w:t xml:space="preserve"> </w:t>
      </w:r>
      <w:r>
        <w:t xml:space="preserve">Base case roughly 9% over twelve months, bear case still positive near 5% because carry absorbs a widening mark, bull case low double digits accelerated by a par take-out or refinancing. My confidence is high on the money-good conclusion and on the carry, and moderate on the timing of any spread tightening, which is why the horizon is twelve to twenty-four months.</w:t>
      </w:r>
    </w:p>
    <w:bookmarkEnd w:id="82"/>
    <w:bookmarkStart w:id="83" w:name="positioning-sentiment-process"/>
    <w:p>
      <w:pPr>
        <w:pStyle w:val="Heading2"/>
      </w:pPr>
      <w:r>
        <w:t xml:space="preserve">Positioning, Sentiment, Process</w:t>
      </w:r>
    </w:p>
    <w:p>
      <w:pPr>
        <w:pStyle w:val="FirstParagraph"/>
      </w:pPr>
      <w:r>
        <w:rPr>
          <w:bCs/>
          <w:b/>
        </w:rPr>
        <w:t xml:space="preserve">Q46. The equity short is crowded. Are you fading the crowd?</w:t>
      </w:r>
      <w:r>
        <w:t xml:space="preserve"> </w:t>
      </w:r>
      <w:r>
        <w:t xml:space="preserve">I am taking the credit side, where positioning is light and holders are carry-oriented. The crowded equity short reflects business-trajectory pessimism that is legitimate for the equity and largely irrelevant for a 1x-levered first lien. I am not fading the decline, I am pricing the credit for the decline correctly, which the market has not.</w:t>
      </w:r>
    </w:p>
    <w:p>
      <w:pPr>
        <w:pStyle w:val="BodyText"/>
      </w:pPr>
      <w:r>
        <w:rPr>
          <w:bCs/>
          <w:b/>
        </w:rPr>
        <w:t xml:space="preserve">Q47. What does the recent equity rally tell you?</w:t>
      </w:r>
      <w:r>
        <w:t xml:space="preserve"> </w:t>
      </w:r>
      <w:r>
        <w:t xml:space="preserve">That the terminal-decline narrative is being challenged. Up roughly 37% over ninety days with estimates rising and a Buy upgrade suggests the market is beginning to price stabilization and optionality. For the loan, that narrows the fear discount in the spread and raises the credibility of a par refinancing or take-out.</w:t>
      </w:r>
    </w:p>
    <w:p>
      <w:pPr>
        <w:pStyle w:val="BodyText"/>
      </w:pPr>
      <w:r>
        <w:rPr>
          <w:bCs/>
          <w:b/>
        </w:rPr>
        <w:t xml:space="preserve">Q48. What is the catalyst path and timing?</w:t>
      </w:r>
      <w:r>
        <w:t xml:space="preserve"> </w:t>
      </w:r>
      <w:r>
        <w:t xml:space="preserve">Nearest is Q2 2026 on August 5, where a stabilizing transactions print or continued Pharma Direct momentum would support tightening. Beyond that, continued GLP-1 traction, a rating outlook improvement, a 2027-2028 refinancing, or an M&amp;A take-out. Positive carry means I am paid to wait for these.</w:t>
      </w:r>
    </w:p>
    <w:p>
      <w:pPr>
        <w:pStyle w:val="BodyText"/>
      </w:pPr>
      <w:r>
        <w:rPr>
          <w:bCs/>
          <w:b/>
        </w:rPr>
        <w:t xml:space="preserve">Q49. When would you trim or exit?</w:t>
      </w:r>
      <w:r>
        <w:t xml:space="preserve"> </w:t>
      </w:r>
      <w:r>
        <w:t xml:space="preserve">On a leveraging M&amp;A deal above roughly 4x, on EBITDA below roughly $180 million without stabilization, on credit-agreement findings of priming or drop-down capacity, or as 2029 approaches into a shut refinancing market unaddressed by 2028. Otherwise I hold for carry and add on weakness.</w:t>
      </w:r>
    </w:p>
    <w:p>
      <w:pPr>
        <w:pStyle w:val="BodyText"/>
      </w:pPr>
      <w:r>
        <w:rPr>
          <w:bCs/>
          <w:b/>
        </w:rPr>
        <w:t xml:space="preserve">Q50. What is your worst realistic twelve-month outcome?</w:t>
      </w:r>
      <w:r>
        <w:t xml:space="preserve"> </w:t>
      </w:r>
      <w:r>
        <w:t xml:space="preserve">A weak print widens the spread 150 to 250 basis points and marks the position down two to three and a half points, but roughly 8 points of carry keeps the twelve-month total return around plus 5%. To actually lose principal I need a genuine going-concern scenario, which the 1x-net balance sheet and $236 million cash make remote over the loan’s life.</w:t>
      </w:r>
    </w:p>
    <w:p>
      <w:pPr>
        <w:pStyle w:val="BodyText"/>
      </w:pPr>
      <w:r>
        <w:rPr>
          <w:bCs/>
          <w:b/>
        </w:rPr>
        <w:t xml:space="preserve">Q51. How is this different from just buying a higher-quality loan at the same spread?</w:t>
      </w:r>
      <w:r>
        <w:t xml:space="preserve"> </w:t>
      </w:r>
      <w:r>
        <w:t xml:space="preserve">A higher-quality growing loan at the same spread would be preferable if it existed, but the market rarely pays a full single-B spread for 1x net leverage. The mispricing is the point. I am getting quality-of-balance-sheet safety at a business-risk spread, an inefficiency created by the equity narrative, that a straightforwardly higher-quality loan would not offer at this spread.</w:t>
      </w:r>
    </w:p>
    <w:p>
      <w:pPr>
        <w:pStyle w:val="BodyText"/>
      </w:pPr>
      <w:r>
        <w:rPr>
          <w:bCs/>
          <w:b/>
        </w:rPr>
        <w:t xml:space="preserve">Q52. Why not express this in the equity if you are constructive?</w:t>
      </w:r>
      <w:r>
        <w:t xml:space="preserve"> </w:t>
      </w:r>
      <w:r>
        <w:t xml:space="preserve">Because I am not constructive on the business, I am constructive on the credit. The equity requires a turnaround to work and carries full downside if decline continues. The loan requires only survival and refinancing and pays me to wait. The risk-adjusted expression of a money-good-plus-carry view is the loan, not the equity.</w:t>
      </w:r>
    </w:p>
    <w:p>
      <w:pPr>
        <w:pStyle w:val="BodyText"/>
      </w:pPr>
      <w:r>
        <w:rPr>
          <w:bCs/>
          <w:b/>
        </w:rPr>
        <w:t xml:space="preserve">Q53. How liquid is this loan if you need to exit?</w:t>
      </w:r>
      <w:r>
        <w:t xml:space="preserve"> </w:t>
      </w:r>
      <w:r>
        <w:t xml:space="preserve">It is a roughly $494 million facility, reasonably liquid in the secondary market and likely CLO-eligible, so there is a structural bid. I would build and exit in clips. Liquidity is adequate for the size I recommend, and the CLO bid is a supportive technical for a long holder.</w:t>
      </w:r>
    </w:p>
    <w:p>
      <w:pPr>
        <w:pStyle w:val="BodyText"/>
      </w:pPr>
      <w:r>
        <w:rPr>
          <w:bCs/>
          <w:b/>
        </w:rPr>
        <w:t xml:space="preserve">Q54. What would make you press the position larger?</w:t>
      </w:r>
      <w:r>
        <w:t xml:space="preserve"> </w:t>
      </w:r>
      <w:r>
        <w:t xml:space="preserve">A dip toward 97-98 on spread-driven or headline-driven selling with fundamentals intact, a stabilizing transactions print, or clean credit-agreement language ruling out priming and drop-downs. Any of those improves the risk-reward on an already money-good credit and would justify adding toward the top of my single-name limit.</w:t>
      </w:r>
    </w:p>
    <w:p>
      <w:pPr>
        <w:pStyle w:val="BodyText"/>
      </w:pPr>
      <w:r>
        <w:rPr>
          <w:bCs/>
          <w:b/>
        </w:rPr>
        <w:t xml:space="preserve">Q55. Give me the one-sentence pitch.</w:t>
      </w:r>
      <w:r>
        <w:t xml:space="preserve"> </w:t>
      </w:r>
      <w:r>
        <w:t xml:space="preserve">GoodRx’s first lien loan pays a full single-B spread of roughly 8% all-in for a first lien on an asset-light, cash-generative business levered at only about 1x net, with $236 million cash, no maturity until 2029, and best-in-class recovery, so I am long the mispriced safety and carry, sized as a core position, adding on dips, with par take-out and refinancing both paying me at par and the balance sheet absorbing the business decline many times over.</w:t>
      </w:r>
    </w:p>
    <w:p>
      <w:r>
        <w:pict>
          <v:rect style="width:0;height:1.5pt" o:hralign="center" o:hrstd="t" o:hr="t"/>
        </w:pict>
      </w:r>
    </w:p>
    <w:bookmarkEnd w:id="83"/>
    <w:bookmarkEnd w:id="84"/>
    <w:bookmarkStart w:id="89" w:name="comparable-companies"/>
    <w:p>
      <w:pPr>
        <w:pStyle w:val="Heading1"/>
      </w:pPr>
      <w:r>
        <w:t xml:space="preserve">18. Comparable Companies</w:t>
      </w:r>
    </w:p>
    <w:bookmarkStart w:id="85" w:name="Xd7d9ad304c34b152d68f59d82bece89c31433dc"/>
    <w:p>
      <w:pPr>
        <w:pStyle w:val="Heading2"/>
      </w:pPr>
      <w:r>
        <w:t xml:space="preserve">18.1 The Comp Problem and the Right Lens for a Long</w:t>
      </w:r>
    </w:p>
    <w:p>
      <w:pPr>
        <w:pStyle w:val="FirstParagraph"/>
      </w:pPr>
      <w:r>
        <w:t xml:space="preserve">GoodRx straddles digital health, PBM-adjacent intermediation, and leveraged single-B credit, so no single comp is clean. For a long-credit pitch the decisive lens is the leveraged single-B first lien universe, benchmarked on spread per turn of leverage and on recovery. On growth GoodRx screens worse than peers. On leverage, recovery, and cash cushion it screens materially better. The long argument is that the market prices GoodRx on the first axis and ignores the second.</w:t>
      </w:r>
    </w:p>
    <w:bookmarkEnd w:id="85"/>
    <w:bookmarkStart w:id="86" w:name="comparative-framework-credit-lens"/>
    <w:p>
      <w:pPr>
        <w:pStyle w:val="Heading2"/>
      </w:pPr>
      <w:r>
        <w:t xml:space="preserve">18.2 Comparative Framework (Credit Lens)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GoodRx</w:t>
            </w:r>
          </w:p>
        </w:tc>
        <w:tc>
          <w:tcPr/>
          <w:p>
            <w:pPr>
              <w:pStyle w:val="Compact"/>
              <w:jc w:val="left"/>
            </w:pPr>
            <w:r>
              <w:t xml:space="preserve">Stable single-B software / health-IT first lien (illustrative peer)</w:t>
            </w:r>
          </w:p>
        </w:tc>
        <w:tc>
          <w:tcPr/>
          <w:p>
            <w:pPr>
              <w:pStyle w:val="Compact"/>
              <w:jc w:val="left"/>
            </w:pPr>
            <w:r>
              <w:t xml:space="preserve">Typical single-B LBO first lien (illustrative peer)</w:t>
            </w:r>
          </w:p>
        </w:tc>
      </w:tr>
      <w:tr>
        <w:tc>
          <w:tcPr/>
          <w:p>
            <w:pPr>
              <w:pStyle w:val="Compact"/>
              <w:jc w:val="left"/>
            </w:pPr>
            <w:r>
              <w:t xml:space="preserve">Revenue growth</w:t>
            </w:r>
          </w:p>
        </w:tc>
        <w:tc>
          <w:tcPr/>
          <w:p>
            <w:pPr>
              <w:pStyle w:val="Compact"/>
              <w:jc w:val="left"/>
            </w:pPr>
            <w:r>
              <w:t xml:space="preserve">Declining</w:t>
            </w:r>
          </w:p>
        </w:tc>
        <w:tc>
          <w:tcPr/>
          <w:p>
            <w:pPr>
              <w:pStyle w:val="Compact"/>
              <w:jc w:val="left"/>
            </w:pPr>
            <w:r>
              <w:t xml:space="preserve">Flat to modest growth</w:t>
            </w:r>
          </w:p>
        </w:tc>
        <w:tc>
          <w:tcPr/>
          <w:p>
            <w:pPr>
              <w:pStyle w:val="Compact"/>
              <w:jc w:val="left"/>
            </w:pPr>
            <w:r>
              <w:t xml:space="preserve">Varies</w:t>
            </w:r>
          </w:p>
        </w:tc>
      </w:tr>
      <w:tr>
        <w:tc>
          <w:tcPr/>
          <w:p>
            <w:pPr>
              <w:pStyle w:val="Compact"/>
              <w:jc w:val="left"/>
            </w:pPr>
            <w:r>
              <w:t xml:space="preserve">Gross margin</w:t>
            </w:r>
          </w:p>
        </w:tc>
        <w:tc>
          <w:tcPr/>
          <w:p>
            <w:pPr>
              <w:pStyle w:val="Compact"/>
              <w:jc w:val="left"/>
            </w:pPr>
            <w:r>
              <w:t xml:space="preserve">~90%+</w:t>
            </w:r>
          </w:p>
        </w:tc>
        <w:tc>
          <w:tcPr/>
          <w:p>
            <w:pPr>
              <w:pStyle w:val="Compact"/>
              <w:jc w:val="left"/>
            </w:pPr>
            <w:r>
              <w:t xml:space="preserve">70-80%</w:t>
            </w:r>
          </w:p>
        </w:tc>
        <w:tc>
          <w:tcPr/>
          <w:p>
            <w:pPr>
              <w:pStyle w:val="Compact"/>
              <w:jc w:val="left"/>
            </w:pPr>
            <w:r>
              <w:t xml:space="preserve">Varies</w:t>
            </w:r>
          </w:p>
        </w:tc>
      </w:tr>
      <w:tr>
        <w:tc>
          <w:tcPr/>
          <w:p>
            <w:pPr>
              <w:pStyle w:val="Compact"/>
              <w:jc w:val="left"/>
            </w:pPr>
            <w:r>
              <w:t xml:space="preserve">Adj. EBITDA margin</w:t>
            </w:r>
          </w:p>
        </w:tc>
        <w:tc>
          <w:tcPr/>
          <w:p>
            <w:pPr>
              <w:pStyle w:val="Compact"/>
              <w:jc w:val="left"/>
            </w:pPr>
            <w:r>
              <w:t xml:space="preserve">~30%, falling</w:t>
            </w:r>
          </w:p>
        </w:tc>
        <w:tc>
          <w:tcPr/>
          <w:p>
            <w:pPr>
              <w:pStyle w:val="Compact"/>
              <w:jc w:val="left"/>
            </w:pPr>
            <w:r>
              <w:t xml:space="preserve">30-40%, stable</w:t>
            </w:r>
          </w:p>
        </w:tc>
        <w:tc>
          <w:tcPr/>
          <w:p>
            <w:pPr>
              <w:pStyle w:val="Compact"/>
              <w:jc w:val="left"/>
            </w:pPr>
            <w:r>
              <w:t xml:space="preserve">20-35%</w:t>
            </w:r>
          </w:p>
        </w:tc>
      </w:tr>
      <w:tr>
        <w:tc>
          <w:tcPr/>
          <w:p>
            <w:pPr>
              <w:pStyle w:val="Compact"/>
              <w:jc w:val="left"/>
            </w:pPr>
            <w:r>
              <w:t xml:space="preserve">Gross leverage</w:t>
            </w:r>
          </w:p>
        </w:tc>
        <w:tc>
          <w:tcPr/>
          <w:p>
            <w:pPr>
              <w:pStyle w:val="Compact"/>
              <w:jc w:val="left"/>
            </w:pPr>
            <w:r>
              <w:t xml:space="preserve">~1.9x</w:t>
            </w:r>
          </w:p>
        </w:tc>
        <w:tc>
          <w:tcPr/>
          <w:p>
            <w:pPr>
              <w:pStyle w:val="Compact"/>
              <w:jc w:val="left"/>
            </w:pPr>
            <w:r>
              <w:t xml:space="preserve">4-6x</w:t>
            </w:r>
          </w:p>
        </w:tc>
        <w:tc>
          <w:tcPr/>
          <w:p>
            <w:pPr>
              <w:pStyle w:val="Compact"/>
              <w:jc w:val="left"/>
            </w:pPr>
            <w:r>
              <w:t xml:space="preserve">5-7x</w:t>
            </w:r>
          </w:p>
        </w:tc>
      </w:tr>
      <w:tr>
        <w:tc>
          <w:tcPr/>
          <w:p>
            <w:pPr>
              <w:pStyle w:val="Compact"/>
              <w:jc w:val="left"/>
            </w:pPr>
            <w:r>
              <w:t xml:space="preserve">Net leverage</w:t>
            </w:r>
          </w:p>
        </w:tc>
        <w:tc>
          <w:tcPr/>
          <w:p>
            <w:pPr>
              <w:pStyle w:val="Compact"/>
              <w:jc w:val="left"/>
            </w:pPr>
            <w:r>
              <w:t xml:space="preserve">~1.0x</w:t>
            </w:r>
          </w:p>
        </w:tc>
        <w:tc>
          <w:tcPr/>
          <w:p>
            <w:pPr>
              <w:pStyle w:val="Compact"/>
              <w:jc w:val="left"/>
            </w:pPr>
            <w:r>
              <w:t xml:space="preserve">3.5-5.5x</w:t>
            </w:r>
          </w:p>
        </w:tc>
        <w:tc>
          <w:tcPr/>
          <w:p>
            <w:pPr>
              <w:pStyle w:val="Compact"/>
              <w:jc w:val="left"/>
            </w:pPr>
            <w:r>
              <w:t xml:space="preserve">4.5-6.5x</w:t>
            </w:r>
          </w:p>
        </w:tc>
      </w:tr>
      <w:tr>
        <w:tc>
          <w:tcPr/>
          <w:p>
            <w:pPr>
              <w:pStyle w:val="Compact"/>
              <w:jc w:val="left"/>
            </w:pPr>
            <w:r>
              <w:t xml:space="preserve">FCF conversion</w:t>
            </w:r>
          </w:p>
        </w:tc>
        <w:tc>
          <w:tcPr/>
          <w:p>
            <w:pPr>
              <w:pStyle w:val="Compact"/>
              <w:jc w:val="left"/>
            </w:pPr>
            <w:r>
              <w:t xml:space="preserve">~30%</w:t>
            </w:r>
          </w:p>
        </w:tc>
        <w:tc>
          <w:tcPr/>
          <w:p>
            <w:pPr>
              <w:pStyle w:val="Compact"/>
              <w:jc w:val="left"/>
            </w:pPr>
            <w:r>
              <w:t xml:space="preserve">40-60%</w:t>
            </w:r>
          </w:p>
        </w:tc>
        <w:tc>
          <w:tcPr/>
          <w:p>
            <w:pPr>
              <w:pStyle w:val="Compact"/>
              <w:jc w:val="left"/>
            </w:pPr>
            <w:r>
              <w:t xml:space="preserve">20-40%</w:t>
            </w:r>
          </w:p>
        </w:tc>
      </w:tr>
      <w:tr>
        <w:tc>
          <w:tcPr/>
          <w:p>
            <w:pPr>
              <w:pStyle w:val="Compact"/>
              <w:jc w:val="left"/>
            </w:pPr>
            <w:r>
              <w:t xml:space="preserve">Loan spread</w:t>
            </w:r>
          </w:p>
        </w:tc>
        <w:tc>
          <w:tcPr/>
          <w:p>
            <w:pPr>
              <w:pStyle w:val="Compact"/>
              <w:jc w:val="left"/>
            </w:pPr>
            <w:r>
              <w:t xml:space="preserve">~SOFR+375</w:t>
            </w:r>
          </w:p>
        </w:tc>
        <w:tc>
          <w:tcPr/>
          <w:p>
            <w:pPr>
              <w:pStyle w:val="Compact"/>
              <w:jc w:val="left"/>
            </w:pPr>
            <w:r>
              <w:t xml:space="preserve">SOFR+300-450</w:t>
            </w:r>
          </w:p>
        </w:tc>
        <w:tc>
          <w:tcPr/>
          <w:p>
            <w:pPr>
              <w:pStyle w:val="Compact"/>
              <w:jc w:val="left"/>
            </w:pPr>
            <w:r>
              <w:t xml:space="preserve">SOFR+400-550</w:t>
            </w:r>
          </w:p>
        </w:tc>
      </w:tr>
      <w:tr>
        <w:tc>
          <w:tcPr/>
          <w:p>
            <w:pPr>
              <w:pStyle w:val="Compact"/>
              <w:jc w:val="left"/>
            </w:pPr>
            <w:r>
              <w:t xml:space="preserve">Recovery</w:t>
            </w:r>
          </w:p>
        </w:tc>
        <w:tc>
          <w:tcPr/>
          <w:p>
            <w:pPr>
              <w:pStyle w:val="Compact"/>
              <w:jc w:val="left"/>
            </w:pPr>
            <w:r>
              <w:t xml:space="preserve">High (only debt, first lien)</w:t>
            </w:r>
          </w:p>
        </w:tc>
        <w:tc>
          <w:tcPr/>
          <w:p>
            <w:pPr>
              <w:pStyle w:val="Compact"/>
              <w:jc w:val="left"/>
            </w:pPr>
            <w:r>
              <w:t xml:space="preserve">Varies</w:t>
            </w:r>
          </w:p>
        </w:tc>
        <w:tc>
          <w:tcPr/>
          <w:p>
            <w:pPr>
              <w:pStyle w:val="Compact"/>
              <w:jc w:val="left"/>
            </w:pPr>
            <w:r>
              <w:t xml:space="preserve">Lower (more debt ahead/around)</w:t>
            </w:r>
          </w:p>
        </w:tc>
      </w:tr>
      <w:tr>
        <w:tc>
          <w:tcPr/>
          <w:p>
            <w:pPr>
              <w:pStyle w:val="Compact"/>
              <w:jc w:val="left"/>
            </w:pPr>
            <w:r>
              <w:t xml:space="preserve">Cash / debt</w:t>
            </w:r>
          </w:p>
        </w:tc>
        <w:tc>
          <w:tcPr/>
          <w:p>
            <w:pPr>
              <w:pStyle w:val="Compact"/>
              <w:jc w:val="left"/>
            </w:pPr>
            <w:r>
              <w:t xml:space="preserve">~48%</w:t>
            </w:r>
          </w:p>
        </w:tc>
        <w:tc>
          <w:tcPr/>
          <w:p>
            <w:pPr>
              <w:pStyle w:val="Compact"/>
              <w:jc w:val="left"/>
            </w:pPr>
            <w:r>
              <w:t xml:space="preserve">Lower</w:t>
            </w:r>
          </w:p>
        </w:tc>
        <w:tc>
          <w:tcPr/>
          <w:p>
            <w:pPr>
              <w:pStyle w:val="Compact"/>
              <w:jc w:val="left"/>
            </w:pPr>
            <w:r>
              <w:t xml:space="preserve">Lower</w:t>
            </w:r>
          </w:p>
        </w:tc>
      </w:tr>
    </w:tbl>
    <w:bookmarkEnd w:id="86"/>
    <w:bookmarkStart w:id="87" w:name="the-relative-value-read"/>
    <w:p>
      <w:pPr>
        <w:pStyle w:val="Heading2"/>
      </w:pPr>
      <w:r>
        <w:t xml:space="preserve">18.3 The Relative-Value Read</w:t>
      </w:r>
    </w:p>
    <w:p>
      <w:pPr>
        <w:pStyle w:val="FirstParagraph"/>
      </w:pPr>
      <w:r>
        <w:t xml:space="preserve">GoodRx offers the lowest leverage and among the highest cash-to-debt in almost any single-B comp set, at a spread comparable to peers carrying three to five times the leverage. On spread per turn of net leverage, GoodRx pays roughly 375 basis points for about 1x, or roughly 375 basis points per turn, versus peers paying perhaps 80 to 110 basis points per turn. That is the crux: you are paid several times more spread per unit of leverage risk. The offset is worse growth, but growth is an equity concern, and at 1x leverage the growth deficit does not threaten debt service. For a long-credit investor buying safety and carry, GoodRx is cheap relative to the universe.</w:t>
      </w:r>
    </w:p>
    <w:bookmarkEnd w:id="87"/>
    <w:bookmarkStart w:id="88" w:name="summary"/>
    <w:p>
      <w:pPr>
        <w:pStyle w:val="Heading2"/>
      </w:pPr>
      <w:r>
        <w:t xml:space="preserve">18.4 Summary</w:t>
      </w:r>
    </w:p>
    <w:p>
      <w:pPr>
        <w:numPr>
          <w:ilvl w:val="0"/>
          <w:numId w:val="1001"/>
        </w:numPr>
        <w:pStyle w:val="Compact"/>
      </w:pPr>
      <w:r>
        <w:rPr>
          <w:bCs/>
          <w:b/>
        </w:rPr>
        <w:t xml:space="preserve">Growth:</w:t>
      </w:r>
      <w:r>
        <w:t xml:space="preserve"> </w:t>
      </w:r>
      <w:r>
        <w:t xml:space="preserve">Worst-in-class. The only genuine negative, and largely an equity concern.</w:t>
      </w:r>
    </w:p>
    <w:p>
      <w:pPr>
        <w:numPr>
          <w:ilvl w:val="0"/>
          <w:numId w:val="1001"/>
        </w:numPr>
        <w:pStyle w:val="Compact"/>
      </w:pPr>
      <w:r>
        <w:rPr>
          <w:bCs/>
          <w:b/>
        </w:rPr>
        <w:t xml:space="preserve">Leverage:</w:t>
      </w:r>
      <w:r>
        <w:t xml:space="preserve"> </w:t>
      </w:r>
      <w:r>
        <w:t xml:space="preserve">Best-in-class. The core of the long.</w:t>
      </w:r>
    </w:p>
    <w:p>
      <w:pPr>
        <w:numPr>
          <w:ilvl w:val="0"/>
          <w:numId w:val="1001"/>
        </w:numPr>
        <w:pStyle w:val="Compact"/>
      </w:pPr>
      <w:r>
        <w:rPr>
          <w:bCs/>
          <w:b/>
        </w:rPr>
        <w:t xml:space="preserve">Recovery:</w:t>
      </w:r>
      <w:r>
        <w:t xml:space="preserve"> </w:t>
      </w:r>
      <w:r>
        <w:t xml:space="preserve">Best-in-class configuration (only debt, first lien, full guarantees).</w:t>
      </w:r>
    </w:p>
    <w:p>
      <w:pPr>
        <w:numPr>
          <w:ilvl w:val="0"/>
          <w:numId w:val="1001"/>
        </w:numPr>
        <w:pStyle w:val="Compact"/>
      </w:pPr>
      <w:r>
        <w:rPr>
          <w:bCs/>
          <w:b/>
        </w:rPr>
        <w:t xml:space="preserve">Cash cushion:</w:t>
      </w:r>
      <w:r>
        <w:t xml:space="preserve"> </w:t>
      </w:r>
      <w:r>
        <w:t xml:space="preserve">Among the highest (cash roughly 48% of the loan).</w:t>
      </w:r>
    </w:p>
    <w:p>
      <w:pPr>
        <w:numPr>
          <w:ilvl w:val="0"/>
          <w:numId w:val="1001"/>
        </w:numPr>
        <w:pStyle w:val="Compact"/>
      </w:pPr>
      <w:r>
        <w:rPr>
          <w:bCs/>
          <w:b/>
        </w:rPr>
        <w:t xml:space="preserve">Spread:</w:t>
      </w:r>
      <w:r>
        <w:t xml:space="preserve"> </w:t>
      </w:r>
      <w:r>
        <w:t xml:space="preserve">Middle-of-pack in absolute terms, cheap per turn of leverage.</w:t>
      </w:r>
    </w:p>
    <w:p>
      <w:pPr>
        <w:numPr>
          <w:ilvl w:val="0"/>
          <w:numId w:val="1001"/>
        </w:numPr>
        <w:pStyle w:val="Compact"/>
      </w:pPr>
      <w:r>
        <w:rPr>
          <w:bCs/>
          <w:b/>
        </w:rPr>
        <w:t xml:space="preserve">Conclusion:</w:t>
      </w:r>
      <w:r>
        <w:t xml:space="preserve"> </w:t>
      </w:r>
      <w:r>
        <w:t xml:space="preserve">Underpriced safety. Own it for carry and protection.</w:t>
      </w:r>
    </w:p>
    <w:p>
      <w:r>
        <w:pict>
          <v:rect style="width:0;height:1.5pt" o:hralign="center" o:hrstd="t" o:hr="t"/>
        </w:pict>
      </w:r>
    </w:p>
    <w:bookmarkEnd w:id="88"/>
    <w:bookmarkEnd w:id="89"/>
    <w:bookmarkStart w:id="98" w:name="appendix"/>
    <w:p>
      <w:pPr>
        <w:pStyle w:val="Heading1"/>
      </w:pPr>
      <w:r>
        <w:t xml:space="preserve">19. Appendix</w:t>
      </w:r>
    </w:p>
    <w:bookmarkStart w:id="90" w:name="key-operating-metrics-trend"/>
    <w:p>
      <w:pPr>
        <w:pStyle w:val="Heading2"/>
      </w:pPr>
      <w:r>
        <w:t xml:space="preserve">19.1 Key Operating Metrics (Trend)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left"/>
            </w:pPr>
            <w:r>
              <w:t xml:space="preserve">Q1’25</w:t>
            </w:r>
          </w:p>
        </w:tc>
        <w:tc>
          <w:tcPr/>
          <w:p>
            <w:pPr>
              <w:pStyle w:val="Compact"/>
              <w:jc w:val="left"/>
            </w:pPr>
            <w:r>
              <w:t xml:space="preserve">Q2’25</w:t>
            </w:r>
          </w:p>
        </w:tc>
        <w:tc>
          <w:tcPr/>
          <w:p>
            <w:pPr>
              <w:pStyle w:val="Compact"/>
              <w:jc w:val="left"/>
            </w:pPr>
            <w:r>
              <w:t xml:space="preserve">Q3’25</w:t>
            </w:r>
          </w:p>
        </w:tc>
        <w:tc>
          <w:tcPr/>
          <w:p>
            <w:pPr>
              <w:pStyle w:val="Compact"/>
              <w:jc w:val="left"/>
            </w:pPr>
            <w:r>
              <w:t xml:space="preserve">Q4’25</w:t>
            </w:r>
          </w:p>
        </w:tc>
        <w:tc>
          <w:tcPr/>
          <w:p>
            <w:pPr>
              <w:pStyle w:val="Compact"/>
              <w:jc w:val="left"/>
            </w:pPr>
            <w:r>
              <w:t xml:space="preserve">Q1’26</w:t>
            </w:r>
          </w:p>
        </w:tc>
      </w:tr>
      <w:tr>
        <w:tc>
          <w:tcPr/>
          <w:p>
            <w:pPr>
              <w:pStyle w:val="Compact"/>
              <w:jc w:val="left"/>
            </w:pPr>
            <w:r>
              <w:t xml:space="preserve">Monthly Active Consumers (M)</w:t>
            </w:r>
          </w:p>
        </w:tc>
        <w:tc>
          <w:tcPr/>
          <w:p>
            <w:pPr>
              <w:pStyle w:val="Compact"/>
              <w:jc w:val="left"/>
            </w:pPr>
            <w:r>
              <w:t xml:space="preserve">6.4</w:t>
            </w:r>
          </w:p>
        </w:tc>
        <w:tc>
          <w:tcPr/>
          <w:p>
            <w:pPr>
              <w:pStyle w:val="Compact"/>
              <w:jc w:val="left"/>
            </w:pPr>
            <w:r>
              <w:t xml:space="preserve">5.7</w:t>
            </w:r>
          </w:p>
        </w:tc>
        <w:tc>
          <w:tcPr/>
          <w:p>
            <w:pPr>
              <w:pStyle w:val="Compact"/>
              <w:jc w:val="left"/>
            </w:pPr>
            <w:r>
              <w:t xml:space="preserve">5.4</w:t>
            </w:r>
          </w:p>
        </w:tc>
        <w:tc>
          <w:tcPr/>
          <w:p>
            <w:pPr>
              <w:pStyle w:val="Compact"/>
              <w:jc w:val="left"/>
            </w:pPr>
            <w:r>
              <w:t xml:space="preserve">5.3</w:t>
            </w:r>
          </w:p>
        </w:tc>
        <w:tc>
          <w:tcPr/>
          <w:p>
            <w:pPr>
              <w:pStyle w:val="Compact"/>
              <w:jc w:val="left"/>
            </w:pPr>
            <w:r>
              <w:t xml:space="preserve">5.3</w:t>
            </w:r>
          </w:p>
        </w:tc>
      </w:tr>
      <w:tr>
        <w:tc>
          <w:tcPr/>
          <w:p>
            <w:pPr>
              <w:pStyle w:val="Compact"/>
              <w:jc w:val="left"/>
            </w:pPr>
            <w:r>
              <w:t xml:space="preserve">Subscription plans (000s)</w:t>
            </w:r>
          </w:p>
        </w:tc>
        <w:tc>
          <w:tcPr/>
          <w:p>
            <w:pPr>
              <w:pStyle w:val="Compact"/>
              <w:jc w:val="left"/>
            </w:pPr>
            <w:r>
              <w:t xml:space="preserve">680</w:t>
            </w:r>
          </w:p>
        </w:tc>
        <w:tc>
          <w:tcPr/>
          <w:p>
            <w:pPr>
              <w:pStyle w:val="Compact"/>
              <w:jc w:val="left"/>
            </w:pPr>
            <w:r>
              <w:t xml:space="preserve">668</w:t>
            </w:r>
          </w:p>
        </w:tc>
        <w:tc>
          <w:tcPr/>
          <w:p>
            <w:pPr>
              <w:pStyle w:val="Compact"/>
              <w:jc w:val="left"/>
            </w:pPr>
            <w:r>
              <w:t xml:space="preserve">671</w:t>
            </w:r>
          </w:p>
        </w:tc>
        <w:tc>
          <w:tcPr/>
          <w:p>
            <w:pPr>
              <w:pStyle w:val="Compact"/>
              <w:jc w:val="left"/>
            </w:pPr>
            <w:r>
              <w:t xml:space="preserve">674</w:t>
            </w:r>
          </w:p>
        </w:tc>
        <w:tc>
          <w:tcPr/>
          <w:p>
            <w:pPr>
              <w:pStyle w:val="Compact"/>
              <w:jc w:val="left"/>
            </w:pPr>
            <w:r>
              <w:t xml:space="preserve">717</w:t>
            </w:r>
          </w:p>
        </w:tc>
      </w:tr>
      <w:tr>
        <w:tc>
          <w:tcPr/>
          <w:p>
            <w:pPr>
              <w:pStyle w:val="Compact"/>
              <w:jc w:val="left"/>
            </w:pPr>
            <w:r>
              <w:t xml:space="preserve">Prescription transactions rev (</w:t>
            </w:r>
            <m:oMath>
              <m:r>
                <m:t>M</m:t>
              </m:r>
              <m:r>
                <m:rPr>
                  <m:sty m:val="p"/>
                </m:rPr>
                <m:t>)</m:t>
              </m:r>
              <m:d>
                <m:dPr>
                  <m:begChr m:val="|"/>
                  <m:endChr m:val="|"/>
                  <m:sepChr m:val=""/>
                  <m:grow/>
                </m:dPr>
                <m:e>
                  <m:r>
                    <m:t>148.9</m:t>
                  </m:r>
                </m:e>
              </m:d>
              <m:r>
                <m:t>143.1</m:t>
              </m:r>
              <m:d>
                <m:dPr>
                  <m:begChr m:val="|"/>
                  <m:endChr m:val="|"/>
                  <m:sepChr m:val=""/>
                  <m:grow/>
                </m:dPr>
                <m:e>
                  <m:r>
                    <m:t>127.3</m:t>
                  </m:r>
                </m:e>
              </m:d>
              <m:r>
                <m:t> </m:t>
              </m:r>
              <m:r>
                <m:t>119</m:t>
              </m:r>
              <m:d>
                <m:dPr>
                  <m:begChr m:val="|"/>
                  <m:endChr m:val="|"/>
                  <m:sepChr m:val=""/>
                  <m:grow/>
                </m:dPr>
                <m:e>
                  <m:r>
                    <m:t>113.7</m:t>
                  </m:r>
                </m:e>
              </m:d>
              <m:r>
                <m:rPr>
                  <m:sty m:val="p"/>
                </m:rPr>
                <m:t>|</m:t>
              </m:r>
              <m:r>
                <m:t>P</m:t>
              </m:r>
              <m:r>
                <m:t>h</m:t>
              </m:r>
              <m:r>
                <m:t>a</m:t>
              </m:r>
              <m:r>
                <m:t>r</m:t>
              </m:r>
              <m:r>
                <m:t>m</m:t>
              </m:r>
              <m:r>
                <m:t>a</m:t>
              </m:r>
              <m:r>
                <m:t>D</m:t>
              </m:r>
              <m:r>
                <m:t>i</m:t>
              </m:r>
              <m:r>
                <m:t>r</m:t>
              </m:r>
              <m:r>
                <m:t>e</m:t>
              </m:r>
              <m:r>
                <m:t>c</m:t>
              </m:r>
              <m:r>
                <m:t>t</m:t>
              </m:r>
              <m:r>
                <m:t>r</m:t>
              </m:r>
              <m:r>
                <m:t>e</m:t>
              </m:r>
              <m:r>
                <m:t>v</m:t>
              </m:r>
              <m:r>
                <m:rPr>
                  <m:sty m:val="p"/>
                </m:rPr>
                <m:t>(</m:t>
              </m:r>
            </m:oMath>
            <w:r>
              <w:t xml:space="preserve">M)</w:t>
            </w:r>
          </w:p>
        </w:tc>
        <w:tc>
          <w:tcPr/>
          <w:p>
            <w:pPr>
              <w:pStyle w:val="Compact"/>
              <w:jc w:val="left"/>
            </w:pPr>
            <w:r>
              <w:t xml:space="preserve">28.6</w:t>
            </w:r>
          </w:p>
        </w:tc>
        <w:tc>
          <w:tcPr/>
          <w:p>
            <w:pPr>
              <w:pStyle w:val="Compact"/>
              <w:jc w:val="left"/>
            </w:pPr>
            <w:r>
              <w:t xml:space="preserve">35.0</w:t>
            </w:r>
          </w:p>
        </w:tc>
        <w:tc>
          <w:tcPr/>
          <w:p>
            <w:pPr>
              <w:pStyle w:val="Compact"/>
              <w:jc w:val="left"/>
            </w:pPr>
            <w:r>
              <w:t xml:space="preserve">43.4</w:t>
            </w:r>
          </w:p>
        </w:tc>
        <w:tc>
          <w:tcPr/>
          <w:p>
            <w:pPr>
              <w:pStyle w:val="Compact"/>
              <w:jc w:val="left"/>
            </w:pPr>
            <w:r>
              <w:t xml:space="preserve">~48</w:t>
            </w:r>
          </w:p>
        </w:tc>
        <w:tc>
          <w:tcPr/>
          <w:p>
            <w:pPr>
              <w:pStyle w:val="Compact"/>
              <w:jc w:val="left"/>
            </w:pPr>
            <w:r>
              <w:t xml:space="preserve">52.2</w:t>
            </w:r>
          </w:p>
        </w:tc>
      </w:tr>
      <w:tr>
        <w:tc>
          <w:tcPr/>
          <w:p>
            <w:pPr>
              <w:pStyle w:val="Compact"/>
              <w:jc w:val="left"/>
            </w:pPr>
            <w:r>
              <w:t xml:space="preserve">Subscription rev (</w:t>
            </w:r>
            <m:oMath>
              <m:r>
                <m:t>M</m:t>
              </m:r>
              <m:r>
                <m:rPr>
                  <m:sty m:val="p"/>
                </m:rPr>
                <m:t>)</m:t>
              </m:r>
              <m:d>
                <m:dPr>
                  <m:begChr m:val="|"/>
                  <m:endChr m:val="|"/>
                  <m:sepChr m:val=""/>
                  <m:grow/>
                </m:dPr>
                <m:e>
                  <m:r>
                    <m:t>21.0</m:t>
                  </m:r>
                </m:e>
              </m:d>
              <m:r>
                <m:t>20.5</m:t>
              </m:r>
              <m:d>
                <m:dPr>
                  <m:begChr m:val="|"/>
                  <m:endChr m:val="|"/>
                  <m:sepChr m:val=""/>
                  <m:grow/>
                </m:dPr>
                <m:e>
                  <m:r>
                    <m:t>20.7</m:t>
                  </m:r>
                </m:e>
              </m:d>
              <m:r>
                <m:t> </m:t>
              </m:r>
              <m:r>
                <m:t>22</m:t>
              </m:r>
              <m:d>
                <m:dPr>
                  <m:begChr m:val="|"/>
                  <m:endChr m:val="|"/>
                  <m:sepChr m:val=""/>
                  <m:grow/>
                </m:dPr>
                <m:e>
                  <m:r>
                    <m:t>24.4</m:t>
                  </m:r>
                </m:e>
              </m:d>
              <m:r>
                <m:rPr>
                  <m:sty m:val="p"/>
                </m:rPr>
                <m:t>|</m:t>
              </m:r>
              <m:r>
                <m:t>T</m:t>
              </m:r>
              <m:r>
                <m:t>o</m:t>
              </m:r>
              <m:r>
                <m:t>t</m:t>
              </m:r>
              <m:r>
                <m:t>a</m:t>
              </m:r>
              <m:r>
                <m:t>l</m:t>
              </m:r>
              <m:r>
                <m:t>r</m:t>
              </m:r>
              <m:r>
                <m:t>e</m:t>
              </m:r>
              <m:r>
                <m:t>v</m:t>
              </m:r>
              <m:r>
                <m:t>e</m:t>
              </m:r>
              <m:r>
                <m:t>n</m:t>
              </m:r>
              <m:r>
                <m:t>u</m:t>
              </m:r>
              <m:r>
                <m:t>e</m:t>
              </m:r>
              <m:r>
                <m:rPr>
                  <m:sty m:val="p"/>
                </m:rPr>
                <m:t>(</m:t>
              </m:r>
            </m:oMath>
            <w:r>
              <w:t xml:space="preserve">M)</w:t>
            </w:r>
          </w:p>
        </w:tc>
        <w:tc>
          <w:tcPr/>
          <w:p>
            <w:pPr>
              <w:pStyle w:val="Compact"/>
              <w:jc w:val="left"/>
            </w:pPr>
            <w:r>
              <w:t xml:space="preserve">203.0</w:t>
            </w:r>
          </w:p>
        </w:tc>
        <w:tc>
          <w:tcPr/>
          <w:p>
            <w:pPr>
              <w:pStyle w:val="Compact"/>
              <w:jc w:val="left"/>
            </w:pPr>
            <w:r>
              <w:t xml:space="preserve">203.1</w:t>
            </w:r>
          </w:p>
        </w:tc>
        <w:tc>
          <w:tcPr/>
          <w:p>
            <w:pPr>
              <w:pStyle w:val="Compact"/>
              <w:jc w:val="left"/>
            </w:pPr>
            <w:r>
              <w:t xml:space="preserve">~196</w:t>
            </w:r>
          </w:p>
        </w:tc>
        <w:tc>
          <w:tcPr/>
          <w:p>
            <w:pPr>
              <w:pStyle w:val="Compact"/>
              <w:jc w:val="left"/>
            </w:pPr>
            <w:r>
              <w:t xml:space="preserve">~195</w:t>
            </w:r>
          </w:p>
        </w:tc>
        <w:tc>
          <w:tcPr/>
          <w:p>
            <w:pPr>
              <w:pStyle w:val="Compact"/>
              <w:jc w:val="left"/>
            </w:pPr>
            <w:r>
              <w:t xml:space="preserve">194.0</w:t>
            </w:r>
          </w:p>
        </w:tc>
      </w:tr>
      <w:tr>
        <w:tc>
          <w:tcPr/>
          <w:p>
            <w:pPr>
              <w:pStyle w:val="Compact"/>
              <w:jc w:val="left"/>
            </w:pPr>
            <w:r>
              <w:t xml:space="preserve">Adjusted EBITDA ($M)</w:t>
            </w:r>
          </w:p>
        </w:tc>
        <w:tc>
          <w:tcPr/>
          <w:p>
            <w:pPr>
              <w:pStyle w:val="Compact"/>
              <w:jc w:val="left"/>
            </w:pPr>
            <w:r>
              <w:t xml:space="preserve">69.8</w:t>
            </w:r>
          </w:p>
        </w:tc>
        <w:tc>
          <w:tcPr/>
          <w:p>
            <w:pPr>
              <w:pStyle w:val="Compact"/>
              <w:jc w:val="left"/>
            </w:pPr>
            <w:r>
              <w:t xml:space="preserve">69.4</w:t>
            </w:r>
          </w:p>
        </w:tc>
        <w:tc>
          <w:tcPr/>
          <w:p>
            <w:pPr>
              <w:pStyle w:val="Compact"/>
              <w:jc w:val="left"/>
            </w:pPr>
            <w:r>
              <w:t xml:space="preserve">66.3</w:t>
            </w:r>
          </w:p>
        </w:tc>
        <w:tc>
          <w:tcPr/>
          <w:p>
            <w:pPr>
              <w:pStyle w:val="Compact"/>
              <w:jc w:val="left"/>
            </w:pPr>
            <w:r>
              <w:t xml:space="preserve">~62</w:t>
            </w:r>
          </w:p>
        </w:tc>
        <w:tc>
          <w:tcPr/>
          <w:p>
            <w:pPr>
              <w:pStyle w:val="Compact"/>
              <w:jc w:val="left"/>
            </w:pPr>
            <w:r>
              <w:t xml:space="preserve">58.3</w:t>
            </w:r>
          </w:p>
        </w:tc>
      </w:tr>
      <w:tr>
        <w:tc>
          <w:tcPr/>
          <w:p>
            <w:pPr>
              <w:pStyle w:val="Compact"/>
              <w:jc w:val="left"/>
            </w:pPr>
            <w:r>
              <w:t xml:space="preserve">Adj. EBITDA margin</w:t>
            </w:r>
          </w:p>
        </w:tc>
        <w:tc>
          <w:tcPr/>
          <w:p>
            <w:pPr>
              <w:pStyle w:val="Compact"/>
              <w:jc w:val="left"/>
            </w:pPr>
            <w:r>
              <w:t xml:space="preserve">34.4%</w:t>
            </w:r>
          </w:p>
        </w:tc>
        <w:tc>
          <w:tcPr/>
          <w:p>
            <w:pPr>
              <w:pStyle w:val="Compact"/>
              <w:jc w:val="left"/>
            </w:pPr>
            <w:r>
              <w:t xml:space="preserve">34.2%</w:t>
            </w:r>
          </w:p>
        </w:tc>
        <w:tc>
          <w:tcPr/>
          <w:p>
            <w:pPr>
              <w:pStyle w:val="Compact"/>
              <w:jc w:val="left"/>
            </w:pPr>
            <w:r>
              <w:t xml:space="preserve">33.8%</w:t>
            </w:r>
          </w:p>
        </w:tc>
        <w:tc>
          <w:tcPr/>
          <w:p>
            <w:pPr>
              <w:pStyle w:val="Compact"/>
              <w:jc w:val="left"/>
            </w:pPr>
            <w:r>
              <w:t xml:space="preserve">~32%</w:t>
            </w:r>
          </w:p>
        </w:tc>
        <w:tc>
          <w:tcPr/>
          <w:p>
            <w:pPr>
              <w:pStyle w:val="Compact"/>
              <w:jc w:val="left"/>
            </w:pPr>
            <w:r>
              <w:t xml:space="preserve">30.0%</w:t>
            </w:r>
          </w:p>
        </w:tc>
      </w:tr>
    </w:tbl>
    <w:p>
      <w:pPr>
        <w:pStyle w:val="BodyText"/>
      </w:pPr>
      <w:r>
        <w:rPr>
          <w:iCs/>
          <w:i/>
        </w:rPr>
        <w:t xml:space="preserve">Q4’25 figures are estimates derived from full-year totals and disclosed quarters. Confirm against the Q4/FY2025 release and 10-K before quoting precisely.</w:t>
      </w:r>
    </w:p>
    <w:bookmarkEnd w:id="90"/>
    <w:bookmarkStart w:id="91" w:name="capital-structure-quick-reference"/>
    <w:p>
      <w:pPr>
        <w:pStyle w:val="Heading2"/>
      </w:pPr>
      <w:r>
        <w:t xml:space="preserve">19.2 Capital Structure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Instrument</w:t>
            </w:r>
          </w:p>
        </w:tc>
        <w:tc>
          <w:tcPr/>
          <w:p>
            <w:pPr>
              <w:pStyle w:val="Compact"/>
              <w:jc w:val="left"/>
            </w:pPr>
            <w:r>
              <w:t xml:space="preserve">2024 First Lien Term Loan</w:t>
            </w:r>
          </w:p>
        </w:tc>
      </w:tr>
      <w:tr>
        <w:tc>
          <w:tcPr/>
          <w:p>
            <w:pPr>
              <w:pStyle w:val="Compact"/>
              <w:jc w:val="left"/>
            </w:pPr>
            <w:r>
              <w:t xml:space="preserve">Original / current</w:t>
            </w:r>
          </w:p>
        </w:tc>
        <w:tc>
          <w:tcPr/>
          <w:p>
            <w:pPr>
              <w:pStyle w:val="Compact"/>
              <w:jc w:val="left"/>
            </w:pPr>
            <w:r>
              <w:t xml:space="preserve">$500.0M / ~$493.8M</w:t>
            </w:r>
          </w:p>
        </w:tc>
      </w:tr>
      <w:tr>
        <w:tc>
          <w:tcPr/>
          <w:p>
            <w:pPr>
              <w:pStyle w:val="Compact"/>
              <w:jc w:val="left"/>
            </w:pPr>
            <w:r>
              <w:t xml:space="preserve">Maturity</w:t>
            </w:r>
          </w:p>
        </w:tc>
        <w:tc>
          <w:tcPr/>
          <w:p>
            <w:pPr>
              <w:pStyle w:val="Compact"/>
              <w:jc w:val="left"/>
            </w:pPr>
            <w:r>
              <w:t xml:space="preserve">July 10, 2029</w:t>
            </w:r>
          </w:p>
        </w:tc>
      </w:tr>
      <w:tr>
        <w:tc>
          <w:tcPr/>
          <w:p>
            <w:pPr>
              <w:pStyle w:val="Compact"/>
              <w:jc w:val="left"/>
            </w:pPr>
            <w:r>
              <w:t xml:space="preserve">Coupon</w:t>
            </w:r>
          </w:p>
        </w:tc>
        <w:tc>
          <w:tcPr/>
          <w:p>
            <w:pPr>
              <w:pStyle w:val="Compact"/>
              <w:jc w:val="left"/>
            </w:pPr>
            <w:r>
              <w:t xml:space="preserve">Term SOFR (0% floor) + 3.75%</w:t>
            </w:r>
          </w:p>
        </w:tc>
      </w:tr>
      <w:tr>
        <w:tc>
          <w:tcPr/>
          <w:p>
            <w:pPr>
              <w:pStyle w:val="Compact"/>
              <w:jc w:val="left"/>
            </w:pPr>
            <w:r>
              <w:t xml:space="preserve">All-in yield</w:t>
            </w:r>
          </w:p>
        </w:tc>
        <w:tc>
          <w:tcPr/>
          <w:p>
            <w:pPr>
              <w:pStyle w:val="Compact"/>
              <w:jc w:val="left"/>
            </w:pPr>
            <w:r>
              <w:t xml:space="preserve">~8.0% (verify vs live SOFR)</w:t>
            </w:r>
          </w:p>
        </w:tc>
      </w:tr>
      <w:tr>
        <w:tc>
          <w:tcPr/>
          <w:p>
            <w:pPr>
              <w:pStyle w:val="Compact"/>
              <w:jc w:val="left"/>
            </w:pPr>
            <w:r>
              <w:t xml:space="preserve">OID at issue</w:t>
            </w:r>
          </w:p>
        </w:tc>
        <w:tc>
          <w:tcPr/>
          <w:p>
            <w:pPr>
              <w:pStyle w:val="Compact"/>
              <w:jc w:val="left"/>
            </w:pPr>
            <w:r>
              <w:t xml:space="preserve">99.0</w:t>
            </w:r>
          </w:p>
        </w:tc>
      </w:tr>
      <w:tr>
        <w:tc>
          <w:tcPr/>
          <w:p>
            <w:pPr>
              <w:pStyle w:val="Compact"/>
              <w:jc w:val="left"/>
            </w:pPr>
            <w:r>
              <w:t xml:space="preserve">Amortization</w:t>
            </w:r>
          </w:p>
        </w:tc>
        <w:tc>
          <w:tcPr/>
          <w:p>
            <w:pPr>
              <w:pStyle w:val="Compact"/>
              <w:jc w:val="left"/>
            </w:pPr>
            <w:r>
              <w:t xml:space="preserve">1%/yr (~$5M)</w:t>
            </w:r>
          </w:p>
        </w:tc>
      </w:tr>
      <w:tr>
        <w:tc>
          <w:tcPr/>
          <w:p>
            <w:pPr>
              <w:pStyle w:val="Compact"/>
              <w:jc w:val="left"/>
            </w:pPr>
            <w:r>
              <w:t xml:space="preserve">Call</w:t>
            </w:r>
          </w:p>
        </w:tc>
        <w:tc>
          <w:tcPr/>
          <w:p>
            <w:pPr>
              <w:pStyle w:val="Compact"/>
              <w:jc w:val="left"/>
            </w:pPr>
            <w:r>
              <w:t xml:space="preserve">Par (soft-call expired Jan 2025)</w:t>
            </w:r>
          </w:p>
        </w:tc>
      </w:tr>
      <w:tr>
        <w:tc>
          <w:tcPr/>
          <w:p>
            <w:pPr>
              <w:pStyle w:val="Compact"/>
              <w:jc w:val="left"/>
            </w:pPr>
            <w:r>
              <w:t xml:space="preserve">Revolver</w:t>
            </w:r>
          </w:p>
        </w:tc>
        <w:tc>
          <w:tcPr/>
          <w:p>
            <w:pPr>
              <w:pStyle w:val="Compact"/>
              <w:jc w:val="left"/>
            </w:pPr>
            <w:r>
              <w:t xml:space="preserve">~$88M, undrawn, due Apr 2029</w:t>
            </w:r>
          </w:p>
        </w:tc>
      </w:tr>
      <w:tr>
        <w:tc>
          <w:tcPr/>
          <w:p>
            <w:pPr>
              <w:pStyle w:val="Compact"/>
              <w:jc w:val="left"/>
            </w:pPr>
            <w:r>
              <w:t xml:space="preserve">Covenant</w:t>
            </w:r>
          </w:p>
        </w:tc>
        <w:tc>
          <w:tcPr/>
          <w:p>
            <w:pPr>
              <w:pStyle w:val="Compact"/>
              <w:jc w:val="left"/>
            </w:pPr>
            <w:r>
              <w:t xml:space="preserve">Springing 8.2x first lien net leverage (revolver-triggered)</w:t>
            </w:r>
          </w:p>
        </w:tc>
      </w:tr>
      <w:tr>
        <w:tc>
          <w:tcPr/>
          <w:p>
            <w:pPr>
              <w:pStyle w:val="Compact"/>
              <w:jc w:val="left"/>
            </w:pPr>
            <w:r>
              <w:t xml:space="preserve">Agent</w:t>
            </w:r>
          </w:p>
        </w:tc>
        <w:tc>
          <w:tcPr/>
          <w:p>
            <w:pPr>
              <w:pStyle w:val="Compact"/>
              <w:jc w:val="left"/>
            </w:pPr>
            <w:r>
              <w:t xml:space="preserve">Barclays Bank PLC</w:t>
            </w:r>
          </w:p>
        </w:tc>
      </w:tr>
      <w:tr>
        <w:tc>
          <w:tcPr/>
          <w:p>
            <w:pPr>
              <w:pStyle w:val="Compact"/>
              <w:jc w:val="left"/>
            </w:pPr>
            <w:r>
              <w:t xml:space="preserve">Security</w:t>
            </w:r>
          </w:p>
        </w:tc>
        <w:tc>
          <w:tcPr/>
          <w:p>
            <w:pPr>
              <w:pStyle w:val="Compact"/>
              <w:jc w:val="left"/>
            </w:pPr>
            <w:r>
              <w:t xml:space="preserve">1st lien on substantially all assets + 100% GoodRx, Inc. equity</w:t>
            </w:r>
          </w:p>
        </w:tc>
      </w:tr>
      <w:tr>
        <w:tc>
          <w:tcPr/>
          <w:p>
            <w:pPr>
              <w:pStyle w:val="Compact"/>
              <w:jc w:val="left"/>
            </w:pPr>
            <w:r>
              <w:t xml:space="preserve">Cash</w:t>
            </w:r>
          </w:p>
        </w:tc>
        <w:tc>
          <w:tcPr/>
          <w:p>
            <w:pPr>
              <w:pStyle w:val="Compact"/>
              <w:jc w:val="left"/>
            </w:pPr>
            <w:r>
              <w:t xml:space="preserve">$235.7M</w:t>
            </w:r>
          </w:p>
        </w:tc>
      </w:tr>
      <w:tr>
        <w:tc>
          <w:tcPr/>
          <w:p>
            <w:pPr>
              <w:pStyle w:val="Compact"/>
              <w:jc w:val="left"/>
            </w:pPr>
            <w:r>
              <w:t xml:space="preserve">Net debt</w:t>
            </w:r>
          </w:p>
        </w:tc>
        <w:tc>
          <w:tcPr/>
          <w:p>
            <w:pPr>
              <w:pStyle w:val="Compact"/>
              <w:jc w:val="left"/>
            </w:pPr>
            <w:r>
              <w:t xml:space="preserve">$258.1M</w:t>
            </w:r>
          </w:p>
        </w:tc>
      </w:tr>
      <w:tr>
        <w:tc>
          <w:tcPr/>
          <w:p>
            <w:pPr>
              <w:pStyle w:val="Compact"/>
              <w:jc w:val="left"/>
            </w:pPr>
            <w:r>
              <w:t xml:space="preserve">Net leverage</w:t>
            </w:r>
          </w:p>
        </w:tc>
        <w:tc>
          <w:tcPr/>
          <w:p>
            <w:pPr>
              <w:pStyle w:val="Compact"/>
              <w:jc w:val="left"/>
            </w:pPr>
            <w:r>
              <w:t xml:space="preserve">~1.0x</w:t>
            </w:r>
          </w:p>
        </w:tc>
      </w:tr>
      <w:tr>
        <w:tc>
          <w:tcPr/>
          <w:p>
            <w:pPr>
              <w:pStyle w:val="Compact"/>
              <w:jc w:val="left"/>
            </w:pPr>
            <w:r>
              <w:t xml:space="preserve">Gross leverage</w:t>
            </w:r>
          </w:p>
        </w:tc>
        <w:tc>
          <w:tcPr/>
          <w:p>
            <w:pPr>
              <w:pStyle w:val="Compact"/>
              <w:jc w:val="left"/>
            </w:pPr>
            <w:r>
              <w:t xml:space="preserve">~1.9x</w:t>
            </w:r>
          </w:p>
        </w:tc>
      </w:tr>
    </w:tbl>
    <w:bookmarkEnd w:id="91"/>
    <w:bookmarkStart w:id="92" w:name="X90c6de8e8f1d13d4e3aba0970993dc369e6a472"/>
    <w:p>
      <w:pPr>
        <w:pStyle w:val="Heading2"/>
      </w:pPr>
      <w:r>
        <w:t xml:space="preserve">19.3 Illustrative Return Bridge (12-Month, Entry 99.0)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Base</w:t>
            </w:r>
          </w:p>
        </w:tc>
        <w:tc>
          <w:tcPr/>
          <w:p>
            <w:pPr>
              <w:pStyle w:val="Compact"/>
              <w:jc w:val="left"/>
            </w:pPr>
            <w:r>
              <w:t xml:space="preserve">Bull (spread -50bp)</w:t>
            </w:r>
          </w:p>
        </w:tc>
        <w:tc>
          <w:tcPr/>
          <w:p>
            <w:pPr>
              <w:pStyle w:val="Compact"/>
              <w:jc w:val="left"/>
            </w:pPr>
            <w:r>
              <w:t xml:space="preserve">Bear (spread +200bp)</w:t>
            </w:r>
          </w:p>
        </w:tc>
      </w:tr>
      <w:tr>
        <w:tc>
          <w:tcPr/>
          <w:p>
            <w:pPr>
              <w:pStyle w:val="Compact"/>
              <w:jc w:val="left"/>
            </w:pPr>
            <w:r>
              <w:t xml:space="preserve">Coupon carry</w:t>
            </w:r>
          </w:p>
        </w:tc>
        <w:tc>
          <w:tcPr/>
          <w:p>
            <w:pPr>
              <w:pStyle w:val="Compact"/>
              <w:jc w:val="left"/>
            </w:pPr>
            <w:r>
              <w:t xml:space="preserve">+8.0%</w:t>
            </w:r>
          </w:p>
        </w:tc>
        <w:tc>
          <w:tcPr/>
          <w:p>
            <w:pPr>
              <w:pStyle w:val="Compact"/>
              <w:jc w:val="left"/>
            </w:pPr>
            <w:r>
              <w:t xml:space="preserve">+8.0%</w:t>
            </w:r>
          </w:p>
        </w:tc>
        <w:tc>
          <w:tcPr/>
          <w:p>
            <w:pPr>
              <w:pStyle w:val="Compact"/>
              <w:jc w:val="left"/>
            </w:pPr>
            <w:r>
              <w:t xml:space="preserve">+8.0%</w:t>
            </w:r>
          </w:p>
        </w:tc>
      </w:tr>
      <w:tr>
        <w:tc>
          <w:tcPr/>
          <w:p>
            <w:pPr>
              <w:pStyle w:val="Compact"/>
              <w:jc w:val="left"/>
            </w:pPr>
            <w:r>
              <w:t xml:space="preserve">Price to par / re-rating</w:t>
            </w:r>
          </w:p>
        </w:tc>
        <w:tc>
          <w:tcPr/>
          <w:p>
            <w:pPr>
              <w:pStyle w:val="Compact"/>
              <w:jc w:val="left"/>
            </w:pPr>
            <w:r>
              <w:t xml:space="preserve">+1.0 pt</w:t>
            </w:r>
          </w:p>
        </w:tc>
        <w:tc>
          <w:tcPr/>
          <w:p>
            <w:pPr>
              <w:pStyle w:val="Compact"/>
              <w:jc w:val="left"/>
            </w:pPr>
            <w:r>
              <w:t xml:space="preserve">+1.5 to +2.0 pts</w:t>
            </w:r>
          </w:p>
        </w:tc>
        <w:tc>
          <w:tcPr/>
          <w:p>
            <w:pPr>
              <w:pStyle w:val="Compact"/>
              <w:jc w:val="left"/>
            </w:pPr>
            <w:r>
              <w:t xml:space="preserve">-2.5 to -3.0 pts</w:t>
            </w:r>
          </w:p>
        </w:tc>
      </w:tr>
      <w:tr>
        <w:tc>
          <w:tcPr/>
          <w:p>
            <w:pPr>
              <w:pStyle w:val="Compact"/>
              <w:jc w:val="left"/>
            </w:pPr>
            <w:r>
              <w:t xml:space="preserve">Total 12-mo return</w:t>
            </w:r>
          </w:p>
        </w:tc>
        <w:tc>
          <w:tcPr/>
          <w:p>
            <w:pPr>
              <w:pStyle w:val="Compact"/>
              <w:jc w:val="left"/>
            </w:pPr>
            <w:r>
              <w:t xml:space="preserve">~+9%</w:t>
            </w:r>
          </w:p>
        </w:tc>
        <w:tc>
          <w:tcPr/>
          <w:p>
            <w:pPr>
              <w:pStyle w:val="Compact"/>
              <w:jc w:val="left"/>
            </w:pPr>
            <w:r>
              <w:t xml:space="preserve">~+10-11%</w:t>
            </w:r>
          </w:p>
        </w:tc>
        <w:tc>
          <w:tcPr/>
          <w:p>
            <w:pPr>
              <w:pStyle w:val="Compact"/>
              <w:jc w:val="left"/>
            </w:pPr>
            <w:r>
              <w:t xml:space="preserve">~+5%</w:t>
            </w:r>
          </w:p>
        </w:tc>
      </w:tr>
    </w:tbl>
    <w:p>
      <w:pPr>
        <w:pStyle w:val="BodyText"/>
      </w:pPr>
      <w:r>
        <w:rPr>
          <w:iCs/>
          <w:i/>
        </w:rPr>
        <w:t xml:space="preserve">Take-out or refinancing at par accelerates the base and bull outcomes. All figures illustrative and dependent on the live entry mark and SOFR.</w:t>
      </w:r>
    </w:p>
    <w:bookmarkEnd w:id="92"/>
    <w:bookmarkStart w:id="93" w:name="definitions-and-industry-terminology"/>
    <w:p>
      <w:pPr>
        <w:pStyle w:val="Heading2"/>
      </w:pPr>
      <w:r>
        <w:t xml:space="preserve">19.4 Definitions and Industry Terminology</w:t>
      </w:r>
    </w:p>
    <w:p>
      <w:pPr>
        <w:numPr>
          <w:ilvl w:val="0"/>
          <w:numId w:val="1002"/>
        </w:numPr>
        <w:pStyle w:val="Compact"/>
      </w:pPr>
      <w:r>
        <w:rPr>
          <w:bCs/>
          <w:b/>
        </w:rPr>
        <w:t xml:space="preserve">PBM (Pharmacy Benefit Manager):</w:t>
      </w:r>
      <w:r>
        <w:t xml:space="preserve"> </w:t>
      </w:r>
      <w:r>
        <w:t xml:space="preserve">Intermediary negotiating drug prices and reimbursement among payers, pharmacies, and manufacturers. GoodRx’s supplier, customer, and competitor.</w:t>
      </w:r>
    </w:p>
    <w:p>
      <w:pPr>
        <w:numPr>
          <w:ilvl w:val="0"/>
          <w:numId w:val="1002"/>
        </w:numPr>
        <w:pStyle w:val="Compact"/>
      </w:pPr>
      <w:r>
        <w:rPr>
          <w:bCs/>
          <w:b/>
        </w:rPr>
        <w:t xml:space="preserve">MAC (Monthly Active Consumer):</w:t>
      </w:r>
      <w:r>
        <w:t xml:space="preserve"> </w:t>
      </w:r>
      <w:r>
        <w:t xml:space="preserve">Unique consumer using a GoodRx code to buy a discounted prescription in a month.</w:t>
      </w:r>
    </w:p>
    <w:p>
      <w:pPr>
        <w:numPr>
          <w:ilvl w:val="0"/>
          <w:numId w:val="1002"/>
        </w:numPr>
        <w:pStyle w:val="Compact"/>
      </w:pPr>
      <w:r>
        <w:rPr>
          <w:bCs/>
          <w:b/>
        </w:rPr>
        <w:t xml:space="preserve">ISP (Integrated Savings Program):</w:t>
      </w:r>
      <w:r>
        <w:t xml:space="preserve"> </w:t>
      </w:r>
      <w:r>
        <w:t xml:space="preserve">GoodRx program embedding its pricing into PBM reimbursement so plan members automatically receive the lower price. Source of volume and of antitrust litigation.</w:t>
      </w:r>
    </w:p>
    <w:p>
      <w:pPr>
        <w:numPr>
          <w:ilvl w:val="0"/>
          <w:numId w:val="1002"/>
        </w:numPr>
        <w:pStyle w:val="Compact"/>
      </w:pPr>
      <w:r>
        <w:rPr>
          <w:bCs/>
          <w:b/>
        </w:rPr>
        <w:t xml:space="preserve">Pharma Direct:</w:t>
      </w:r>
      <w:r>
        <w:t xml:space="preserve"> </w:t>
      </w:r>
      <w:r>
        <w:t xml:space="preserve">GoodRx’s manufacturer-facing segment, including advertising, integration, and consumer direct pricing.</w:t>
      </w:r>
    </w:p>
    <w:p>
      <w:pPr>
        <w:numPr>
          <w:ilvl w:val="0"/>
          <w:numId w:val="1002"/>
        </w:numPr>
        <w:pStyle w:val="Compact"/>
      </w:pPr>
      <w:r>
        <w:rPr>
          <w:bCs/>
          <w:b/>
        </w:rPr>
        <w:t xml:space="preserve">Consumer Direct Pricing:</w:t>
      </w:r>
      <w:r>
        <w:t xml:space="preserve"> </w:t>
      </w:r>
      <w:r>
        <w:t xml:space="preserve">Manufacturer-funded discounted cash pricing for branded drugs facilitated by GoodRx. Drives the reimbursement gross-up.</w:t>
      </w:r>
    </w:p>
    <w:p>
      <w:pPr>
        <w:numPr>
          <w:ilvl w:val="0"/>
          <w:numId w:val="1002"/>
        </w:numPr>
        <w:pStyle w:val="Compact"/>
      </w:pPr>
      <w:r>
        <w:rPr>
          <w:bCs/>
          <w:b/>
        </w:rPr>
        <w:t xml:space="preserve">MFN (Most-Favored-Nation) pricing:</w:t>
      </w:r>
      <w:r>
        <w:t xml:space="preserve"> </w:t>
      </w:r>
      <w:r>
        <w:t xml:space="preserve">Policy benchmarking US drug prices to lower peer-country prices. Basis for TrumpRx.</w:t>
      </w:r>
    </w:p>
    <w:p>
      <w:pPr>
        <w:numPr>
          <w:ilvl w:val="0"/>
          <w:numId w:val="1002"/>
        </w:numPr>
        <w:pStyle w:val="Compact"/>
      </w:pPr>
      <w:r>
        <w:rPr>
          <w:bCs/>
          <w:b/>
        </w:rPr>
        <w:t xml:space="preserve">Covenant-lite:</w:t>
      </w:r>
      <w:r>
        <w:t xml:space="preserve"> </w:t>
      </w:r>
      <w:r>
        <w:t xml:space="preserve">Loan with no maintenance financial covenants or only springing ones.</w:t>
      </w:r>
    </w:p>
    <w:p>
      <w:pPr>
        <w:numPr>
          <w:ilvl w:val="0"/>
          <w:numId w:val="1002"/>
        </w:numPr>
        <w:pStyle w:val="Compact"/>
      </w:pPr>
      <w:r>
        <w:rPr>
          <w:bCs/>
          <w:b/>
        </w:rPr>
        <w:t xml:space="preserve">Springing covenant:</w:t>
      </w:r>
      <w:r>
        <w:t xml:space="preserve"> </w:t>
      </w:r>
      <w:r>
        <w:t xml:space="preserve">Tested only when a condition is met (here, a revolver draw above a threshold).</w:t>
      </w:r>
    </w:p>
    <w:p>
      <w:pPr>
        <w:numPr>
          <w:ilvl w:val="0"/>
          <w:numId w:val="1002"/>
        </w:numPr>
        <w:pStyle w:val="Compact"/>
      </w:pPr>
      <w:r>
        <w:rPr>
          <w:bCs/>
          <w:b/>
        </w:rPr>
        <w:t xml:space="preserve">Soft call:</w:t>
      </w:r>
      <w:r>
        <w:t xml:space="preserve"> </w:t>
      </w:r>
      <w:r>
        <w:t xml:space="preserve">Prepayment premium applying for a limited period after issuance. Now expired, so the loan is callable at par.</w:t>
      </w:r>
    </w:p>
    <w:p>
      <w:pPr>
        <w:numPr>
          <w:ilvl w:val="0"/>
          <w:numId w:val="1002"/>
        </w:numPr>
        <w:pStyle w:val="Compact"/>
      </w:pPr>
      <w:r>
        <w:rPr>
          <w:bCs/>
          <w:b/>
        </w:rPr>
        <w:t xml:space="preserve">OID (Original Issue Discount):</w:t>
      </w:r>
      <w:r>
        <w:t xml:space="preserve"> </w:t>
      </w:r>
      <w:r>
        <w:t xml:space="preserve">Loan issued below par. Raises effective yield.</w:t>
      </w:r>
    </w:p>
    <w:p>
      <w:pPr>
        <w:numPr>
          <w:ilvl w:val="0"/>
          <w:numId w:val="1002"/>
        </w:numPr>
        <w:pStyle w:val="Compact"/>
      </w:pPr>
      <w:r>
        <w:rPr>
          <w:bCs/>
          <w:b/>
        </w:rPr>
        <w:t xml:space="preserve">Excess cash flow sweep:</w:t>
      </w:r>
      <w:r>
        <w:t xml:space="preserve"> </w:t>
      </w:r>
      <w:r>
        <w:t xml:space="preserve">Mandatory prepayment of a portion of annual excess cash flow.</w:t>
      </w:r>
    </w:p>
    <w:p>
      <w:pPr>
        <w:numPr>
          <w:ilvl w:val="0"/>
          <w:numId w:val="1002"/>
        </w:numPr>
        <w:pStyle w:val="Compact"/>
      </w:pPr>
      <w:r>
        <w:rPr>
          <w:bCs/>
          <w:b/>
        </w:rPr>
        <w:t xml:space="preserve">Spread per turn of leverage:</w:t>
      </w:r>
      <w:r>
        <w:t xml:space="preserve"> </w:t>
      </w:r>
      <w:r>
        <w:t xml:space="preserve">Loan spread divided by turns of leverage. A measure of how much spread you are paid per unit of leverage risk. The core of this long.</w:t>
      </w:r>
    </w:p>
    <w:p>
      <w:pPr>
        <w:numPr>
          <w:ilvl w:val="0"/>
          <w:numId w:val="1002"/>
        </w:numPr>
        <w:pStyle w:val="Compact"/>
      </w:pPr>
      <w:r>
        <w:rPr>
          <w:bCs/>
          <w:b/>
        </w:rPr>
        <w:t xml:space="preserve">TRS (Total Return Swap):</w:t>
      </w:r>
      <w:r>
        <w:t xml:space="preserve"> </w:t>
      </w:r>
      <w:r>
        <w:t xml:space="preserve">Synthetic instrument to gain long or short exposure to a loan’s total return without owning it.</w:t>
      </w:r>
    </w:p>
    <w:p>
      <w:pPr>
        <w:numPr>
          <w:ilvl w:val="0"/>
          <w:numId w:val="1002"/>
        </w:numPr>
        <w:pStyle w:val="Compact"/>
      </w:pPr>
      <w:r>
        <w:rPr>
          <w:bCs/>
          <w:b/>
        </w:rPr>
        <w:t xml:space="preserve">CLO (Collateralized Loan Obligation):</w:t>
      </w:r>
      <w:r>
        <w:t xml:space="preserve"> </w:t>
      </w:r>
      <w:r>
        <w:t xml:space="preserve">Largest structural buyer of leveraged loans. CLO eligibility supports a loan’s technical bid.</w:t>
      </w:r>
    </w:p>
    <w:bookmarkEnd w:id="93"/>
    <w:bookmarkStart w:id="94" w:name="acronyms"/>
    <w:p>
      <w:pPr>
        <w:pStyle w:val="Heading2"/>
      </w:pPr>
      <w:r>
        <w:t xml:space="preserve">19.5 Acronyms</w:t>
      </w:r>
    </w:p>
    <w:p>
      <w:pPr>
        <w:pStyle w:val="FirstParagraph"/>
      </w:pPr>
      <w:r>
        <w:t xml:space="preserve">GDRX (ticker), PBM, MAC, ISP, MFN, FTC, OID, SOFR, TRS, CLO, EBITDA, FCF, EV, LTM, YoY, NAV, IRR.</w:t>
      </w:r>
    </w:p>
    <w:bookmarkEnd w:id="94"/>
    <w:bookmarkStart w:id="95" w:name="consensus-and-sentiment-snapshot"/>
    <w:p>
      <w:pPr>
        <w:pStyle w:val="Heading2"/>
      </w:pPr>
      <w:r>
        <w:t xml:space="preserve">19.6 Consensus and Sentiment Snapshot</w:t>
      </w:r>
    </w:p>
    <w:p>
      <w:pPr>
        <w:numPr>
          <w:ilvl w:val="0"/>
          <w:numId w:val="1003"/>
        </w:numPr>
        <w:pStyle w:val="Compact"/>
      </w:pPr>
      <w:r>
        <w:t xml:space="preserve">Equity roughly $2.95, up ~11% over 30 days and ~37% over 90 days, down ~38% over the trailing year.</w:t>
      </w:r>
    </w:p>
    <w:p>
      <w:pPr>
        <w:numPr>
          <w:ilvl w:val="0"/>
          <w:numId w:val="1003"/>
        </w:numPr>
        <w:pStyle w:val="Compact"/>
      </w:pPr>
      <w:r>
        <w:t xml:space="preserve">Upgraded to Zacks Buy (Rank #2) on July 8, 2026, with 2026 EPS estimates revised up ~9% over three months.</w:t>
      </w:r>
    </w:p>
    <w:p>
      <w:pPr>
        <w:numPr>
          <w:ilvl w:val="0"/>
          <w:numId w:val="1003"/>
        </w:numPr>
        <w:pStyle w:val="Compact"/>
      </w:pPr>
      <w:r>
        <w:t xml:space="preserve">FY2026 guidance: revenue $765-785M, Adjusted EBITDA &gt;$235M.</w:t>
      </w:r>
    </w:p>
    <w:p>
      <w:pPr>
        <w:numPr>
          <w:ilvl w:val="0"/>
          <w:numId w:val="1003"/>
        </w:numPr>
        <w:pStyle w:val="Compact"/>
      </w:pPr>
      <w:r>
        <w:t xml:space="preserve">Q2 2026 results scheduled August 5, 2026 (call August 6).</w:t>
      </w:r>
    </w:p>
    <w:bookmarkEnd w:id="95"/>
    <w:bookmarkStart w:id="96" w:name="X8b890700d7bd2719a993231df55514f88b04f73"/>
    <w:p>
      <w:pPr>
        <w:pStyle w:val="Heading2"/>
      </w:pPr>
      <w:r>
        <w:t xml:space="preserve">19.7 Pre-Pitch Data To Refresh Live (Do Not Quote Stale)</w:t>
      </w:r>
    </w:p>
    <w:p>
      <w:pPr>
        <w:numPr>
          <w:ilvl w:val="0"/>
          <w:numId w:val="1004"/>
        </w:numPr>
        <w:pStyle w:val="Compact"/>
      </w:pPr>
      <w:r>
        <w:t xml:space="preserve">Current loan mark (loan-pricing service or dealer run). This determines the entry and the return math.</w:t>
      </w:r>
    </w:p>
    <w:p>
      <w:pPr>
        <w:numPr>
          <w:ilvl w:val="0"/>
          <w:numId w:val="1004"/>
        </w:numPr>
        <w:pStyle w:val="Compact"/>
      </w:pPr>
      <w:r>
        <w:t xml:space="preserve">Current Moody’s and S&amp;P ratings and outlooks.</w:t>
      </w:r>
    </w:p>
    <w:p>
      <w:pPr>
        <w:numPr>
          <w:ilvl w:val="0"/>
          <w:numId w:val="1004"/>
        </w:numPr>
        <w:pStyle w:val="Compact"/>
      </w:pPr>
      <w:r>
        <w:t xml:space="preserve">Current SOFR (for the all-in coupon and carry).</w:t>
      </w:r>
    </w:p>
    <w:p>
      <w:pPr>
        <w:numPr>
          <w:ilvl w:val="0"/>
          <w:numId w:val="1004"/>
        </w:numPr>
        <w:pStyle w:val="Compact"/>
      </w:pPr>
      <w:r>
        <w:t xml:space="preserve">The June 18, 2026 8-K material event details.</w:t>
      </w:r>
    </w:p>
    <w:p>
      <w:pPr>
        <w:numPr>
          <w:ilvl w:val="0"/>
          <w:numId w:val="1004"/>
        </w:numPr>
        <w:pStyle w:val="Compact"/>
      </w:pPr>
      <w:r>
        <w:t xml:space="preserve">Q2 2026 results (August 5, 2026) and any post-cutoff litigation, rating, TrumpRx, M&amp;A, or refinancing developments.</w:t>
      </w:r>
    </w:p>
    <w:p>
      <w:pPr>
        <w:numPr>
          <w:ilvl w:val="0"/>
          <w:numId w:val="1004"/>
        </w:numPr>
        <w:pStyle w:val="Compact"/>
      </w:pPr>
      <w:r>
        <w:t xml:space="preserve">CLO eligibility confirmation and secondary liquidity color from the desk.</w:t>
      </w:r>
    </w:p>
    <w:bookmarkEnd w:id="96"/>
    <w:bookmarkStart w:id="97" w:name="Xe27b64697ffee2ca983c5be3763f07d048c7071"/>
    <w:p>
      <w:pPr>
        <w:pStyle w:val="Heading2"/>
      </w:pPr>
      <w:r>
        <w:t xml:space="preserve">19.8 One-Paragraph Thesis (For the Top of Your Deck)</w:t>
      </w:r>
    </w:p>
    <w:p>
      <w:pPr>
        <w:pStyle w:val="FirstParagraph"/>
      </w:pPr>
      <w:r>
        <w:t xml:space="preserve">GoodRx’s roughly $494 million first lien term loan due 2029 pays a full single-B spread of about SOFR+375, or roughly 8% all-in, for a first lien on an asset-light, cash-generative business levered at only about 1.0x net and 1.9x gross, with $235.7 million of cash, positive free cash flow, no maturity until July 2029, and the highest-recovery structure a term loan can have, being the only debt with full guarantees and first lien on substantially all assets. The market prices the loan for the equity’s terminal-decline fear, but the credit only needs the company to cover roughly $39 million of interest (covered about 6.5x) and refinance at 1x leverage, both easy, and the business decline is absorbable many times over by that balance sheet. On spread per turn of leverage the loan is cheap versus a single-B universe levered three to five times higher at similar spreads, sentiment is turning as the equity recovers and estimates rise, and the two events that threaten a short, an M&amp;A take-out and a clean refinancing, both pay the long at par. The trade is to own or add the loan around 99, size it as a core 2-3% NAV carry position, add on any dip toward 97-98, and hold twelve to twenty-four months for a base-case ~9% total return with a positive bear case and par optionality, reassessing only if a large debt-funded acquisition re-levers above 4x or the credit agreement reveals priming or drop-down capacity.</w:t>
      </w:r>
    </w:p>
    <w:p>
      <w:r>
        <w:pict>
          <v:rect style="width:0;height:1.5pt" o:hralign="center" o:hrstd="t" o:hr="t"/>
        </w:pict>
      </w:r>
    </w:p>
    <w:p>
      <w:pPr>
        <w:pStyle w:val="FirstParagraph"/>
      </w:pPr>
      <w:r>
        <w:rPr>
          <w:iCs/>
          <w:i/>
        </w:rPr>
        <w:t xml:space="preserve">End of report. Figures sourced from GoodRx SEC filings (Q1 2026 10-Q and press release, FY2025 disclosures, Sixth Amendment 8-K), rating agency releases, White House and press coverage of TrumpRx, company partnership announcements, and market data providers, with equity levels and sentiment current to July 12, 2026. Confirm live marks, ratings, SOFR, and any post-cutoff developments before presenting.</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GoodRx Holdings (NASDAQ: GDRX) ��� First Lien Term Loan Long Pitch</dc:title>
  <dc:creator/>
  <cp:keywords/>
  <dcterms:created xsi:type="dcterms:W3CDTF">2026-07-13T11:25:38Z</dcterms:created>
  <dcterms:modified xsi:type="dcterms:W3CDTF">2026-07-13T11:25:38Z</dcterms:modified>
</cp:coreProperties>
</file>

<file path=docProps/custom.xml><?xml version="1.0" encoding="utf-8"?>
<Properties xmlns="http://schemas.openxmlformats.org/officeDocument/2006/custom-properties" xmlns:vt="http://schemas.openxmlformats.org/officeDocument/2006/docPropsVTypes"/>
</file>