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GoodRx (GDRX) Term Loan TRS ��� The Dealer's Seat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2465098d373f49ed61c1a12e37ff165cfae8b53"/>
    <w:p>
      <w:pPr>
        <w:pStyle w:val="Heading1"/>
      </w:pPr>
      <w:r>
        <w:t xml:space="preserve">GoodRx (GDRX) First Lien Term Loan TRS — The Dealer’s Seat</w:t>
      </w:r>
    </w:p>
    <w:bookmarkStart w:id="20" w:name="X9bace1617d22919e9aa161dbd7d1f2367ae0756"/>
    <w:p>
      <w:pPr>
        <w:pStyle w:val="Heading2"/>
      </w:pPr>
      <w:r>
        <w:t xml:space="preserve">Facilitating a Client Short via Total Return Swap: Your Position, Hedge, Price, and Risk</w:t>
      </w:r>
    </w:p>
    <w:p>
      <w:pPr>
        <w:pStyle w:val="FirstParagraph"/>
      </w:pPr>
      <w:r>
        <w:rPr>
          <w:bCs/>
          <w:b/>
        </w:rPr>
        <w:t xml:space="preserve">Prepared for the desk facing the client on the synthetic short.</w:t>
      </w:r>
      <w:r>
        <w:t xml:space="preserve"> </w:t>
      </w:r>
      <w:r>
        <w:t xml:space="preserve">In the companion note the client is the Total Return Payer, shorting the GoodRx 2024 Term Loan synthetically. This note takes the other seat. You are the Total Return Receiver, and this is what that means for your book, your hedge, your price, your capital, and your compliance posture. All marks, financing spreads, funding rates, and capital charges are indicative and must be struck live. Note the house-specific conflict addressed in Section 9: the institution is administrative agent and was an arranger on this loan. Data current through July 13, 2026.</w:t>
      </w:r>
    </w:p>
    <w:p>
      <w:r>
        <w:pict>
          <v:rect style="width:0;height:1.5pt" o:hralign="center" o:hrstd="t" o:hr="t"/>
        </w:pict>
      </w:r>
    </w:p>
    <w:bookmarkEnd w:id="20"/>
    <w:bookmarkStart w:id="21" w:name="your-position-summary-box"/>
    <w:p>
      <w:pPr>
        <w:pStyle w:val="Heading2"/>
      </w:pPr>
      <w:r>
        <w:t xml:space="preserve">YOUR POSITION (Summary Box)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Your seat</w:t>
            </w:r>
          </w:p>
        </w:tc>
      </w:tr>
      <w:tr>
        <w:tc>
          <w:tcPr/>
          <w:p>
            <w:pPr>
              <w:pStyle w:val="Compact"/>
              <w:jc w:val="left"/>
            </w:pPr>
            <w:r>
              <w:rPr>
                <w:bCs/>
                <w:b/>
              </w:rPr>
              <w:t xml:space="preserve">Your role</w:t>
            </w:r>
          </w:p>
        </w:tc>
        <w:tc>
          <w:tcPr/>
          <w:p>
            <w:pPr>
              <w:pStyle w:val="Compact"/>
              <w:jc w:val="left"/>
            </w:pPr>
            <w:r>
              <w:t xml:space="preserve">Total Return Receiver. You receive the loan’s total return and pay the client the financing leg.</w:t>
            </w:r>
          </w:p>
        </w:tc>
      </w:tr>
      <w:tr>
        <w:tc>
          <w:tcPr/>
          <w:p>
            <w:pPr>
              <w:pStyle w:val="Compact"/>
              <w:jc w:val="left"/>
            </w:pPr>
            <w:r>
              <w:rPr>
                <w:bCs/>
                <w:b/>
              </w:rPr>
              <w:t xml:space="preserve">Your economic position</w:t>
            </w:r>
          </w:p>
        </w:tc>
        <w:tc>
          <w:tcPr/>
          <w:p>
            <w:pPr>
              <w:pStyle w:val="Compact"/>
              <w:jc w:val="left"/>
            </w:pPr>
            <w:r>
              <w:t xml:space="preserve">Synthetically</w:t>
            </w:r>
            <w:r>
              <w:t xml:space="preserve"> </w:t>
            </w:r>
            <w:r>
              <w:rPr>
                <w:bCs/>
                <w:b/>
              </w:rPr>
              <w:t xml:space="preserve">long</w:t>
            </w:r>
            <w:r>
              <w:t xml:space="preserve"> </w:t>
            </w:r>
            <w:r>
              <w:t xml:space="preserve">the loan. You gain if it richens or is taken out at par, you lose if it widens.</w:t>
            </w:r>
          </w:p>
        </w:tc>
      </w:tr>
      <w:tr>
        <w:tc>
          <w:tcPr/>
          <w:p>
            <w:pPr>
              <w:pStyle w:val="Compact"/>
              <w:jc w:val="left"/>
            </w:pPr>
            <w:r>
              <w:rPr>
                <w:bCs/>
                <w:b/>
              </w:rPr>
              <w:t xml:space="preserve">The counterintuitive problem</w:t>
            </w:r>
          </w:p>
        </w:tc>
        <w:tc>
          <w:tcPr/>
          <w:p>
            <w:pPr>
              <w:pStyle w:val="Compact"/>
              <w:jc w:val="left"/>
            </w:pPr>
            <w:r>
              <w:t xml:space="preserve">You cannot hedge a synthetic long by shorting the cash loan, because cash loans cannot be borrowed or shorted. Laying off the long is the central challenge of the trade.</w:t>
            </w:r>
          </w:p>
        </w:tc>
      </w:tr>
      <w:tr>
        <w:tc>
          <w:tcPr/>
          <w:p>
            <w:pPr>
              <w:pStyle w:val="Compact"/>
              <w:jc w:val="left"/>
            </w:pPr>
            <w:r>
              <w:rPr>
                <w:bCs/>
                <w:b/>
              </w:rPr>
              <w:t xml:space="preserve">Your revenue</w:t>
            </w:r>
          </w:p>
        </w:tc>
        <w:tc>
          <w:tcPr/>
          <w:p>
            <w:pPr>
              <w:pStyle w:val="Compact"/>
              <w:jc w:val="left"/>
            </w:pPr>
            <w:r>
              <w:t xml:space="preserve">The financing spread you keep, plus unwind and roll bid-offer. Illustratively 100-200 bps per year on notional, roughly $150k-$300k on $15M, before hedge and capital costs.</w:t>
            </w:r>
          </w:p>
        </w:tc>
      </w:tr>
      <w:tr>
        <w:tc>
          <w:tcPr/>
          <w:p>
            <w:pPr>
              <w:pStyle w:val="Compact"/>
              <w:jc w:val="left"/>
            </w:pPr>
            <w:r>
              <w:rPr>
                <w:bCs/>
                <w:b/>
              </w:rPr>
              <w:t xml:space="preserve">The 375 is not fee</w:t>
            </w:r>
          </w:p>
        </w:tc>
        <w:tc>
          <w:tcPr/>
          <w:p>
            <w:pPr>
              <w:pStyle w:val="Compact"/>
              <w:jc w:val="left"/>
            </w:pPr>
            <w:r>
              <w:t xml:space="preserve">If you warehouse the position unhedged you also earn the loan’s 375 spread, but that is compensation for bearing price risk, not riskless fee.</w:t>
            </w:r>
          </w:p>
        </w:tc>
      </w:tr>
      <w:tr>
        <w:tc>
          <w:tcPr/>
          <w:p>
            <w:pPr>
              <w:pStyle w:val="Compact"/>
              <w:jc w:val="left"/>
            </w:pPr>
            <w:r>
              <w:rPr>
                <w:bCs/>
                <w:b/>
              </w:rPr>
              <w:t xml:space="preserve">Your best hedge</w:t>
            </w:r>
          </w:p>
        </w:tc>
        <w:tc>
          <w:tcPr/>
          <w:p>
            <w:pPr>
              <w:pStyle w:val="Compact"/>
              <w:jc w:val="left"/>
            </w:pPr>
            <w:r>
              <w:t xml:space="preserve">A matched book. Internalize against a natural synthetic long so price and coupon cancel and you keep the bid-offer flat.</w:t>
            </w:r>
          </w:p>
        </w:tc>
      </w:tr>
      <w:tr>
        <w:tc>
          <w:tcPr/>
          <w:p>
            <w:pPr>
              <w:pStyle w:val="Compact"/>
              <w:jc w:val="left"/>
            </w:pPr>
            <w:r>
              <w:rPr>
                <w:bCs/>
                <w:b/>
              </w:rPr>
              <w:t xml:space="preserve">Fallback hedges</w:t>
            </w:r>
          </w:p>
        </w:tc>
        <w:tc>
          <w:tcPr/>
          <w:p>
            <w:pPr>
              <w:pStyle w:val="Compact"/>
              <w:jc w:val="left"/>
            </w:pPr>
            <w:r>
              <w:t xml:space="preserve">Proxy hedges (short GDRX equity, buy high-yield or loan-index protection, short a correlated loan) with basis risk, or warehouse the long within limits.</w:t>
            </w:r>
          </w:p>
        </w:tc>
      </w:tr>
      <w:tr>
        <w:tc>
          <w:tcPr/>
          <w:p>
            <w:pPr>
              <w:pStyle w:val="Compact"/>
              <w:jc w:val="left"/>
            </w:pPr>
            <w:r>
              <w:rPr>
                <w:bCs/>
                <w:b/>
              </w:rPr>
              <w:t xml:space="preserve">Your worst case</w:t>
            </w:r>
          </w:p>
        </w:tc>
        <w:tc>
          <w:tcPr/>
          <w:p>
            <w:pPr>
              <w:pStyle w:val="Compact"/>
              <w:jc w:val="left"/>
            </w:pPr>
            <w:r>
              <w:t xml:space="preserve">The client is right and the loan widens while you are unhedged or imperfectly hedged. Note the mirror: the client’s worst case, a par take-out, is good for your warehoused long.</w:t>
            </w:r>
          </w:p>
        </w:tc>
      </w:tr>
      <w:tr>
        <w:tc>
          <w:tcPr/>
          <w:p>
            <w:pPr>
              <w:pStyle w:val="Compact"/>
              <w:jc w:val="left"/>
            </w:pPr>
            <w:r>
              <w:rPr>
                <w:bCs/>
                <w:b/>
              </w:rPr>
              <w:t xml:space="preserve">Counterparty risk</w:t>
            </w:r>
          </w:p>
        </w:tc>
        <w:tc>
          <w:tcPr/>
          <w:p>
            <w:pPr>
              <w:pStyle w:val="Compact"/>
              <w:jc w:val="left"/>
            </w:pPr>
            <w:r>
              <w:t xml:space="preserve">Runs to the client and bites when the loan richens (client owes you). Covered by the Independent Amount and daily variation margin under the ISDA and CSA.</w:t>
            </w:r>
          </w:p>
        </w:tc>
      </w:tr>
      <w:tr>
        <w:tc>
          <w:tcPr/>
          <w:p>
            <w:pPr>
              <w:pStyle w:val="Compact"/>
              <w:jc w:val="left"/>
            </w:pPr>
            <w:r>
              <w:rPr>
                <w:bCs/>
                <w:b/>
              </w:rPr>
              <w:t xml:space="preserve">Capital and balance sheet</w:t>
            </w:r>
          </w:p>
        </w:tc>
        <w:tc>
          <w:tcPr/>
          <w:p>
            <w:pPr>
              <w:pStyle w:val="Compact"/>
              <w:jc w:val="left"/>
            </w:pPr>
            <w:r>
              <w:t xml:space="preserve">The position consumes counterparty-credit RWA, market-risk capital on any warehoused leg, funding, and leverage-ratio balance sheet. These feed the price.</w:t>
            </w:r>
          </w:p>
        </w:tc>
      </w:tr>
      <w:tr>
        <w:tc>
          <w:tcPr/>
          <w:p>
            <w:pPr>
              <w:pStyle w:val="Compact"/>
              <w:jc w:val="left"/>
            </w:pPr>
            <w:r>
              <w:rPr>
                <w:bCs/>
                <w:b/>
              </w:rPr>
              <w:t xml:space="preserve">Compliance gate</w:t>
            </w:r>
          </w:p>
        </w:tc>
        <w:tc>
          <w:tcPr/>
          <w:p>
            <w:pPr>
              <w:pStyle w:val="Compact"/>
              <w:jc w:val="left"/>
            </w:pPr>
            <w:r>
              <w:t xml:space="preserve">Information barrier. The house is agent and was arranger. The desk must trade on the public side and must not use agency-side or lender-only information.</w:t>
            </w:r>
          </w:p>
        </w:tc>
      </w:tr>
    </w:tbl>
    <w:p>
      <w:r>
        <w:pict>
          <v:rect style="width:0;height:1.5pt" o:hralign="center" o:hrstd="t" o:hr="t"/>
        </w:pict>
      </w:r>
    </w:p>
    <w:bookmarkEnd w:id="21"/>
    <w:bookmarkEnd w:id="22"/>
    <w:bookmarkStart w:id="26" w:name="executive-summary"/>
    <w:p>
      <w:pPr>
        <w:pStyle w:val="Heading1"/>
      </w:pPr>
      <w:r>
        <w:t xml:space="preserve">1. Executive Summary</w:t>
      </w:r>
    </w:p>
    <w:bookmarkStart w:id="23" w:name="what-you-are"/>
    <w:p>
      <w:pPr>
        <w:pStyle w:val="Heading2"/>
      </w:pPr>
      <w:r>
        <w:t xml:space="preserve">1.1 What You Are</w:t>
      </w:r>
    </w:p>
    <w:p>
      <w:pPr>
        <w:pStyle w:val="FirstParagraph"/>
      </w:pPr>
      <w:r>
        <w:t xml:space="preserve">When you write this swap for the client, you receive the loan’s total return and pay the client a financing leg. Receiving the total return makes you economically long the loan. You profit if the loan price rises or the loan is repaid at par above your entry mark, and you lose if the loan price falls as spreads widen. This is the exact mirror of the client, who is short. Your P&amp;L on the swap is the negative of the client’s, before your hedge and your fee.</w:t>
      </w:r>
    </w:p>
    <w:p>
      <w:pPr>
        <w:pStyle w:val="BodyText"/>
      </w:pPr>
      <w:r>
        <w:t xml:space="preserve">The single most important consequence is that you are long a loan you cannot easily get short to hedge. The client came to you precisely because a cash loan cannot be borrowed or shorted, so it must be shorted synthetically. That same impossibility is now your problem, because the natural hedge for your synthetic long would be a cash short, which does not exist. Everything downstream, your hedging choices, your price, and the size you will do, flows from this constraint.</w:t>
      </w:r>
    </w:p>
    <w:bookmarkEnd w:id="23"/>
    <w:bookmarkStart w:id="24" w:name="how-you-make-money"/>
    <w:p>
      <w:pPr>
        <w:pStyle w:val="Heading2"/>
      </w:pPr>
      <w:r>
        <w:t xml:space="preserve">1.2 How You Make Money</w:t>
      </w:r>
    </w:p>
    <w:p>
      <w:pPr>
        <w:pStyle w:val="FirstParagraph"/>
      </w:pPr>
      <w:r>
        <w:t xml:space="preserve">Your clean revenue is the financing spread you keep on the swap, which is the amount by which the financing leg you pay the client sits below the loan’s economics you receive. On an indicative 100 to 200 basis points and a 15 million dollar notional, that is roughly 150,000 to 300,000 dollars per year of gross running revenue, plus bid-offer captured when the trade is unwound or rolled. That gross number is then reduced by the cost of hedging, the cost of capital and balance sheet, and any funding, to arrive at your net return on the trade.</w:t>
      </w:r>
    </w:p>
    <w:p>
      <w:pPr>
        <w:pStyle w:val="BodyText"/>
      </w:pPr>
      <w:r>
        <w:t xml:space="preserve">A crucial distinction is that the loan’s 375 spread is not your fee. If you warehouse the long unhedged, you do collect that 375 as carry, but it is compensation for bearing the loan’s price risk, not a riskless margin. Your genuine fee, the part you earn for providing the service rather than for taking risk, is the financing spread and the bid-offer. Confusing the two is how desks mis-price this trade and end up long credit they did not mean to own.</w:t>
      </w:r>
    </w:p>
    <w:bookmarkEnd w:id="24"/>
    <w:bookmarkStart w:id="25" w:name="what-you-have-to-solve"/>
    <w:p>
      <w:pPr>
        <w:pStyle w:val="Heading2"/>
      </w:pPr>
      <w:r>
        <w:t xml:space="preserve">1.3 What You Have To Solve</w:t>
      </w:r>
    </w:p>
    <w:p>
      <w:pPr>
        <w:pStyle w:val="FirstParagraph"/>
      </w:pPr>
      <w:r>
        <w:t xml:space="preserve">Three things determine whether this is a good trade for you. First, can you hedge, ideally by internalizing against a natural long, and if not, how much basis are you accepting in a proxy hedge or how much unhedged long are you willing to warehouse. Second, does the price you can charge the client compensate you for the hedge cost, the capital, the funding, and the residual risk. Third, are you clear of the compliance constraint, given that the house is the administrative agent and was an arranger on this loan, so the desk must be operating on public-side information behind the information barrier. If those three are satisfied, you write it. If you cannot hedge or cannot get clear of the wall, you cut size or pass.</w:t>
      </w:r>
    </w:p>
    <w:p>
      <w:r>
        <w:pict>
          <v:rect style="width:0;height:1.5pt" o:hralign="center" o:hrstd="t" o:hr="t"/>
        </w:pict>
      </w:r>
    </w:p>
    <w:bookmarkEnd w:id="25"/>
    <w:bookmarkEnd w:id="26"/>
    <w:bookmarkStart w:id="30" w:name="your-seat-mechanically"/>
    <w:p>
      <w:pPr>
        <w:pStyle w:val="Heading1"/>
      </w:pPr>
      <w:r>
        <w:t xml:space="preserve">2. Your Seat, Mechanically</w:t>
      </w:r>
    </w:p>
    <w:bookmarkStart w:id="27" w:name="the-legs-from-your-side"/>
    <w:p>
      <w:pPr>
        <w:pStyle w:val="Heading2"/>
      </w:pPr>
      <w:r>
        <w:t xml:space="preserve">2.1 The Legs From Your Side</w:t>
      </w:r>
    </w:p>
    <w:p>
      <w:pPr>
        <w:pStyle w:val="FirstParagraph"/>
      </w:pPr>
      <w:r>
        <w:t xml:space="preserve">On each reset you receive the loan’s total return, which is its coupon of Term SOFR plus 3.75% together with any increase in its price, and you pay any decrease in its price. You pay the client the financing leg, structured as Term SOFR minus a financing spread. Netting the SOFR terms, your running position before price is that you receive 3.75% plus the financing spread. You are therefore long the loan’s spread and long its price.</w:t>
      </w:r>
    </w:p>
    <w:p>
      <w:pPr>
        <w:pStyle w:val="BodyText"/>
      </w:pPr>
      <w:r>
        <w:t xml:space="preserve">Restated as risk, you lose when the loan falls and gain when it rises. When the loan mark drops, you owe the client the depreciation, which is the client’s short profit and your loss on the swap. When the loan mark rises, the client owes you the appreciation. This is what it means to be the synthetic long.</w:t>
      </w:r>
    </w:p>
    <w:bookmarkEnd w:id="27"/>
    <w:bookmarkStart w:id="28" w:name="the-mirror"/>
    <w:p>
      <w:pPr>
        <w:pStyle w:val="Heading2"/>
      </w:pPr>
      <w:r>
        <w:t xml:space="preserve">2.2 The Mirror</w:t>
      </w:r>
    </w:p>
    <w:p>
      <w:pPr>
        <w:pStyle w:val="FirstParagraph"/>
      </w:pPr>
      <w:r>
        <w:t xml:space="preserve">Your swap P&amp;L is the exact opposite of the client’s, before your fee and hedge. Where the client’s scenario table shows a gain on a spread-widening gap, your unhedged book shows the same-sized loss. Where the client bleeds carry, you collect it. Where the client’s trade dies on a par take-out, your warehoused long is made whole at par and gains the pull from your entry mark. Keeping this mirror in mind is the fastest way to sanity-check your own risk, because anything that is good for the client’s short is bad for your unhedged long and vice versa.</w:t>
      </w:r>
    </w:p>
    <w:bookmarkEnd w:id="28"/>
    <w:bookmarkStart w:id="29" w:name="why-you-are-not-automatically-flat"/>
    <w:p>
      <w:pPr>
        <w:pStyle w:val="Heading2"/>
      </w:pPr>
      <w:r>
        <w:t xml:space="preserve">2.3 Why You Are Not Automatically Flat</w:t>
      </w:r>
    </w:p>
    <w:p>
      <w:pPr>
        <w:pStyle w:val="FirstParagraph"/>
      </w:pPr>
      <w:r>
        <w:t xml:space="preserve">It is tempting to assume that writing a swap leaves you flat because you have simply passed exposure to a client. You have not. You have taken the opposite side. Unless you find an offsetting position, you are warehousing a synthetic long. The rest of this note is about how you get flat, what it costs, and what you charge for the part you cannot get flat.</w:t>
      </w:r>
    </w:p>
    <w:p>
      <w:r>
        <w:pict>
          <v:rect style="width:0;height:1.5pt" o:hralign="center" o:hrstd="t" o:hr="t"/>
        </w:pict>
      </w:r>
    </w:p>
    <w:bookmarkEnd w:id="29"/>
    <w:bookmarkEnd w:id="30"/>
    <w:bookmarkStart w:id="35" w:name="your-revenue"/>
    <w:p>
      <w:pPr>
        <w:pStyle w:val="Heading1"/>
      </w:pPr>
      <w:r>
        <w:t xml:space="preserve">3. Your Revenue</w:t>
      </w:r>
    </w:p>
    <w:bookmarkStart w:id="31" w:name="the-financing-spread"/>
    <w:p>
      <w:pPr>
        <w:pStyle w:val="Heading2"/>
      </w:pPr>
      <w:r>
        <w:t xml:space="preserve">3.1 The Financing Spread</w:t>
      </w:r>
    </w:p>
    <w:p>
      <w:pPr>
        <w:pStyle w:val="FirstParagraph"/>
      </w:pPr>
      <w:r>
        <w:t xml:space="preserve">The financing spread is the core fee. You receive the loan’s economics and pay the client Term SOFR minus that spread, so the spread is yours. It is set in the quote and it is where the desk’s service margin lives. For a hard-to-source name where facilitating the short is difficult, the spread is wider, both because you can charge more for a scarce service and because you must be paid for the hedging difficulty. For GoodRx, a loan that people may want to short and that cannot be shorted in cash, the financing spread should sit toward the wider end.</w:t>
      </w:r>
    </w:p>
    <w:bookmarkEnd w:id="31"/>
    <w:bookmarkStart w:id="32" w:name="bid-offer-on-unwind-and-roll"/>
    <w:p>
      <w:pPr>
        <w:pStyle w:val="Heading2"/>
      </w:pPr>
      <w:r>
        <w:t xml:space="preserve">3.2 Bid-Offer On Unwind and Roll</w:t>
      </w:r>
    </w:p>
    <w:p>
      <w:pPr>
        <w:pStyle w:val="FirstParagraph"/>
      </w:pPr>
      <w:r>
        <w:t xml:space="preserve">Beyond the running spread, you capture bid-offer when the position turns over. If the client unwinds early, which the tactical nature of the trade makes likely, you mark the unwind and capture spread on the exit. If the client rolls at scheduled termination, you re-strike the reference price and reset the financing spread to the current market, capturing spread again and repricing the risk. A tactical client who trades around catalysts generates more of this turnover revenue than a buy-and-hold client would.</w:t>
      </w:r>
    </w:p>
    <w:bookmarkEnd w:id="32"/>
    <w:bookmarkStart w:id="33" w:name="netting-down-to-your-real-return"/>
    <w:p>
      <w:pPr>
        <w:pStyle w:val="Heading2"/>
      </w:pPr>
      <w:r>
        <w:t xml:space="preserve">3.3 Netting Down To Your Real Return</w:t>
      </w:r>
    </w:p>
    <w:p>
      <w:pPr>
        <w:pStyle w:val="FirstParagraph"/>
      </w:pPr>
      <w:r>
        <w:t xml:space="preserve">Gross running revenue of roughly 150,000 to 300,000 dollars a year on 15 million is the top line. From it you subtract the cost of your hedge, whether that is the give-up in a matched book, the carry and basis cost of a proxy hedge, or the capital charge on a warehoused long. You subtract the funding and balance-sheet cost of the position. What remains is your net return, which you then judge against the capital and the risk you are committing. The trade is attractive to you when the financing spread you can charge comfortably clears those costs.</w:t>
      </w:r>
    </w:p>
    <w:bookmarkEnd w:id="33"/>
    <w:bookmarkStart w:id="34" w:name="the-375-trap"/>
    <w:p>
      <w:pPr>
        <w:pStyle w:val="Heading2"/>
      </w:pPr>
      <w:r>
        <w:t xml:space="preserve">3.4 The 375 Trap</w:t>
      </w:r>
    </w:p>
    <w:p>
      <w:pPr>
        <w:pStyle w:val="FirstParagraph"/>
      </w:pPr>
      <w:r>
        <w:t xml:space="preserve">Do not book the loan’s 375 spread as profit. If you are running a matched book, the 375 cancels between the two clients and never accrues to you, so counting it would be double-counting. If you are warehousing, the 375 accrues but only as payment for the price risk you are now carrying, which can wipe it out many times over in a single adverse mark. Your durable, low-risk revenue is the financing spread and the bid-offer. Treat the 375 as risk compensation, not as margin.</w:t>
      </w:r>
    </w:p>
    <w:p>
      <w:r>
        <w:pict>
          <v:rect style="width:0;height:1.5pt" o:hralign="center" o:hrstd="t" o:hr="t"/>
        </w:pict>
      </w:r>
    </w:p>
    <w:bookmarkEnd w:id="34"/>
    <w:bookmarkEnd w:id="35"/>
    <w:bookmarkStart w:id="36" w:name="X7429c4c61b741348fb5aedef6a5b8e74fd221a7"/>
    <w:p>
      <w:pPr>
        <w:pStyle w:val="Heading1"/>
      </w:pPr>
      <w:r>
        <w:t xml:space="preserve">4. The Core Problem: A Long You Cannot Easily Short To Hedge</w:t>
      </w:r>
    </w:p>
    <w:p>
      <w:pPr>
        <w:pStyle w:val="FirstParagraph"/>
      </w:pPr>
      <w:r>
        <w:t xml:space="preserve">The natural hedge for a synthetic long is a short in the underlying. For this loan that short does not exist in cash form. Loans transfer by assignment, settlement is slow, and there is no securities-lending market, so you cannot borrow the loan and sell it to hedge. Buying the cash loan does not help either, because that would add a second long on top of the synthetic long and leave you doubly exposed rather than flat. The direction of the risk you have taken is precisely the direction you cannot offset in the cash market.</w:t>
      </w:r>
    </w:p>
    <w:p>
      <w:pPr>
        <w:pStyle w:val="BodyText"/>
      </w:pPr>
      <w:r>
        <w:t xml:space="preserve">This is the asymmetry that makes facilitating a client short structurally harder for a dealer than facilitating a client long. When a client wants a synthetic long, you hedge by buying and holding the cash loan, funding it, and passing the return through, which is clean and routine. When a client wants a synthetic short, you are pushed into a synthetic long that has no clean cash hedge. That is why short-side loan swaps are scarcer, more expensive, and more capacity-constrained, and why your willingness and your price should reflect the difficulty rather than treating the two directions as symmetric.</w:t>
      </w:r>
    </w:p>
    <w:p>
      <w:pPr>
        <w:pStyle w:val="BodyText"/>
      </w:pPr>
      <w:r>
        <w:t xml:space="preserve">The practical resolutions are three. Internalize the risk against a natural long. Hedge imperfectly with a proxy and accept basis. Or warehouse the long within a risk limit and charge for it. The next section works through each.</w:t>
      </w:r>
    </w:p>
    <w:p>
      <w:r>
        <w:pict>
          <v:rect style="width:0;height:1.5pt" o:hralign="center" o:hrstd="t" o:hr="t"/>
        </w:pict>
      </w:r>
    </w:p>
    <w:bookmarkEnd w:id="36"/>
    <w:bookmarkStart w:id="41" w:name="hedging-the-book"/>
    <w:p>
      <w:pPr>
        <w:pStyle w:val="Heading1"/>
      </w:pPr>
      <w:r>
        <w:t xml:space="preserve">5. Hedging the Book</w:t>
      </w:r>
    </w:p>
    <w:bookmarkStart w:id="37" w:name="matched-book-the-ideal"/>
    <w:p>
      <w:pPr>
        <w:pStyle w:val="Heading2"/>
      </w:pPr>
      <w:r>
        <w:t xml:space="preserve">5.1 Matched Book (The Ideal)</w:t>
      </w:r>
    </w:p>
    <w:p>
      <w:pPr>
        <w:pStyle w:val="FirstParagraph"/>
      </w:pPr>
      <w:r>
        <w:t xml:space="preserve">The best outcome is to internalize. If you can face a client who wants to be synthetically long the same loan, you sit in the middle. You receive total return from the short client and pay it to the long client, and you receive financing from the long client and pay financing to the short client. The loan coupon and price change cancel across the two legs, leaving you flat on the loan and earning the sum of the two financing spreads, the full bid-offer, with no price risk. This is the loan-TRS equivalent of matching a buyer and a seller and keeping the spread.</w:t>
      </w:r>
    </w:p>
    <w:p>
      <w:pPr>
        <w:pStyle w:val="BodyText"/>
      </w:pPr>
      <w:r>
        <w:t xml:space="preserve">The constraint is inventory of natural longs. For a name that market participants want to short, the offsetting long may be scarce, which is exactly when internalization is hardest. Your ability to run a matched book depends on the franchise, on how many accounts you face in the name, and on your inventory. Where you can match even partially, do so, and hedge only the residual by other means.</w:t>
      </w:r>
    </w:p>
    <w:bookmarkEnd w:id="37"/>
    <w:bookmarkStart w:id="38" w:name="proxy-hedges-accept-basis"/>
    <w:p>
      <w:pPr>
        <w:pStyle w:val="Heading2"/>
      </w:pPr>
      <w:r>
        <w:t xml:space="preserve">5.2 Proxy Hedges (Accept Basis)</w:t>
      </w:r>
    </w:p>
    <w:p>
      <w:pPr>
        <w:pStyle w:val="FirstParagraph"/>
      </w:pPr>
      <w:r>
        <w:t xml:space="preserve">Where you cannot match, you hedge the direction with a correlated instrument and accept basis risk. The candidates are the same ones the client could have used, now on your book in the opposite direction, since you are long and want a short overlay.</w:t>
      </w:r>
    </w:p>
    <w:p>
      <w:pPr>
        <w:pStyle w:val="BodyText"/>
      </w:pPr>
      <w:r>
        <w:t xml:space="preserve">Shorting the GDRX equity gives you a liquid, borrowable short that is directionally correlated to the credit deteriorating, so it offsets part of your synthetic long. The basis is large, because equity beta, the recent equity rally, and equity-specific drivers mean the hedge and the exposure will not track cleanly, but it is executable and liquid.</w:t>
      </w:r>
    </w:p>
    <w:p>
      <w:pPr>
        <w:pStyle w:val="BodyText"/>
      </w:pPr>
      <w:r>
        <w:t xml:space="preserve">Buying protection on a high-yield or loan credit index gives you a short-credit overlay that hedges the market component of your long. It does nothing for the GoodRx-specific move, so the idiosyncratic basis is total, but it removes the beta and is cheap to run.</w:t>
      </w:r>
    </w:p>
    <w:p>
      <w:pPr>
        <w:pStyle w:val="BodyText"/>
      </w:pPr>
      <w:r>
        <w:t xml:space="preserve">Shorting a correlated single-name credit, where one is available and shortable, hedges more of the sector and rate component than an index but still leaves name-specific basis. This is rarely clean for a single small-cap healthcare name.</w:t>
      </w:r>
    </w:p>
    <w:p>
      <w:pPr>
        <w:pStyle w:val="BodyText"/>
      </w:pPr>
      <w:r>
        <w:t xml:space="preserve">None of these removes the core risk, which is a GoodRx-specific spread-widening gap. They reduce the market and beta components and leave you long the idiosyncratic move, which you then either warehouse or price for.</w:t>
      </w:r>
    </w:p>
    <w:bookmarkEnd w:id="38"/>
    <w:bookmarkStart w:id="39" w:name="warehouse-charge-for-it"/>
    <w:p>
      <w:pPr>
        <w:pStyle w:val="Heading2"/>
      </w:pPr>
      <w:r>
        <w:t xml:space="preserve">5.3 Warehouse (Charge For It)</w:t>
      </w:r>
    </w:p>
    <w:p>
      <w:pPr>
        <w:pStyle w:val="FirstParagraph"/>
      </w:pPr>
      <w:r>
        <w:t xml:space="preserve">Where you can neither match nor adequately proxy, you warehouse the synthetic long inside a risk limit. You earn the loan’s 375 spread plus the financing spread as carry, and you bear the mark-to-market. This is a legitimate desk activity, it is simply long-credit risk-taking, and it must be sized against the desk’s risk appetite and limits in the name. The price you charge the client should compensate you for the expected cost of carrying this risk, and the size you accept should be bounded by how much GoodRx-specific spread risk you are willing to hold. This is why you may cap the notional you will write regardless of how much the client wants.</w:t>
      </w:r>
    </w:p>
    <w:bookmarkEnd w:id="39"/>
    <w:bookmarkStart w:id="40" w:name="the-realistic-answer"/>
    <w:p>
      <w:pPr>
        <w:pStyle w:val="Heading2"/>
      </w:pPr>
      <w:r>
        <w:t xml:space="preserve">5.4 The Realistic Answer</w:t>
      </w:r>
    </w:p>
    <w:p>
      <w:pPr>
        <w:pStyle w:val="FirstParagraph"/>
      </w:pPr>
      <w:r>
        <w:t xml:space="preserve">In practice you will use a blend. Match what you can, overlay an index or equity proxy on the beta, and warehouse the residual idiosyncratic long within limits, pricing the financing spread to clear the expected cost of the residual. The cleaner your matched book, the tighter you can quote and the more size you can do. The more you must warehouse, the wider you quote and the harder you cap size.</w:t>
      </w:r>
    </w:p>
    <w:p>
      <w:r>
        <w:pict>
          <v:rect style="width:0;height:1.5pt" o:hralign="center" o:hrstd="t" o:hr="t"/>
        </w:pict>
      </w:r>
    </w:p>
    <w:bookmarkEnd w:id="40"/>
    <w:bookmarkEnd w:id="41"/>
    <w:bookmarkStart w:id="46" w:name="counterparty-risk-and-margin"/>
    <w:p>
      <w:pPr>
        <w:pStyle w:val="Heading1"/>
      </w:pPr>
      <w:r>
        <w:t xml:space="preserve">6. Counterparty Risk and Margin</w:t>
      </w:r>
    </w:p>
    <w:bookmarkStart w:id="42" w:name="which-way-the-exposure-runs"/>
    <w:p>
      <w:pPr>
        <w:pStyle w:val="Heading2"/>
      </w:pPr>
      <w:r>
        <w:t xml:space="preserve">6.1 Which Way The Exposure Runs</w:t>
      </w:r>
    </w:p>
    <w:p>
      <w:pPr>
        <w:pStyle w:val="FirstParagraph"/>
      </w:pPr>
      <w:r>
        <w:t xml:space="preserve">Your counterparty exposure to the client is not constant, it depends on the mark. When the loan richens, the client is losing on the short and owes you the appreciation, so your current exposure to the client is positive and you want collateral. When the loan cheapens, you owe the client, so the client has exposure to you. Because the client is the short, your credit exposure to the client bites in the scenario where the loan rises, which is the scenario where the client’s trade is going wrong. That is the exposure the collateral framework is there to cover.</w:t>
      </w:r>
    </w:p>
    <w:bookmarkEnd w:id="42"/>
    <w:bookmarkStart w:id="43" w:name="the-collateral-framework"/>
    <w:p>
      <w:pPr>
        <w:pStyle w:val="Heading2"/>
      </w:pPr>
      <w:r>
        <w:t xml:space="preserve">6.2 The Collateral Framework</w:t>
      </w:r>
    </w:p>
    <w:p>
      <w:pPr>
        <w:pStyle w:val="FirstParagraph"/>
      </w:pPr>
      <w:r>
        <w:t xml:space="preserve">The trade lives under an ISDA Master Agreement and a Credit Support Annex. At inception the client posts an Independent Amount, an initial margin typically in the region of 10 to 20 percent of notional, which cushions you against a gap move before variation margin can catch up. Thereafter variation margin passes daily as the mark moves, the client posting to you when the loan richens and you posting to the client when it cheapens. The Independent Amount and the daily variation margin together are what let you extend this exposure without funding principal and without taking unsecured client risk.</w:t>
      </w:r>
    </w:p>
    <w:bookmarkEnd w:id="43"/>
    <w:bookmarkStart w:id="44" w:name="gap-risk-and-close-out"/>
    <w:p>
      <w:pPr>
        <w:pStyle w:val="Heading2"/>
      </w:pPr>
      <w:r>
        <w:t xml:space="preserve">6.3 Gap Risk and Close-Out</w:t>
      </w:r>
    </w:p>
    <w:p>
      <w:pPr>
        <w:pStyle w:val="FirstParagraph"/>
      </w:pPr>
      <w:r>
        <w:t xml:space="preserve">Your residual counterparty risk is gap risk, a jump in the loan mark against the client that exceeds the collateral held before you can close out. For a loan, where marks can move in steps and liquidity can thin, gap risk is more material than for a continuously traded instrument, which is a reason to set the Independent Amount conservatively. On a client default you close out at the market value of the swap, applying the collateral, and you are left with your own hedge, which you then manage or unwind. Sizing the Independent Amount and the variation-margin mechanics for loan gap behavior is a real part of pricing this trade well.</w:t>
      </w:r>
    </w:p>
    <w:bookmarkEnd w:id="44"/>
    <w:bookmarkStart w:id="45" w:name="wrong-way-considerations"/>
    <w:p>
      <w:pPr>
        <w:pStyle w:val="Heading2"/>
      </w:pPr>
      <w:r>
        <w:t xml:space="preserve">6.4 Wrong-Way Considerations</w:t>
      </w:r>
    </w:p>
    <w:p>
      <w:pPr>
        <w:pStyle w:val="FirstParagraph"/>
      </w:pPr>
      <w:r>
        <w:t xml:space="preserve">Consider whether the client’s creditworthiness is correlated with the exposure. If the client is a credit fund whose broader book is short credit, then a broad credit rally that pushes GoodRx higher and puts the client in debt to you may also be stressing the client’s wider portfolio, a mild portfolio-level wrong-way effect. It is usually second-order for a diversified fund, but it belongs in the assessment, and it is another reason not to rely solely on the mark and to hold a solid Independent Amount.</w:t>
      </w:r>
    </w:p>
    <w:p>
      <w:r>
        <w:pict>
          <v:rect style="width:0;height:1.5pt" o:hralign="center" o:hrstd="t" o:hr="t"/>
        </w:pict>
      </w:r>
    </w:p>
    <w:bookmarkEnd w:id="45"/>
    <w:bookmarkEnd w:id="46"/>
    <w:bookmarkStart w:id="47" w:name="balance-sheet-capital-and-funding"/>
    <w:p>
      <w:pPr>
        <w:pStyle w:val="Heading1"/>
      </w:pPr>
      <w:r>
        <w:t xml:space="preserve">7. Balance Sheet, Capital, and Funding</w:t>
      </w:r>
    </w:p>
    <w:p>
      <w:pPr>
        <w:pStyle w:val="FirstParagraph"/>
      </w:pPr>
      <w:r>
        <w:t xml:space="preserve">The trade is not free even when hedged, because it consumes the scarce resources the desk is charged for, and those costs must be built into the price.</w:t>
      </w:r>
    </w:p>
    <w:p>
      <w:pPr>
        <w:pStyle w:val="BodyText"/>
      </w:pPr>
      <w:r>
        <w:t xml:space="preserve">Counterparty credit risk capital applies to the swap exposure to the client, sized off the potential future exposure of the position and reduced by the collateral held. A well-margined swap with a solid Independent Amount carries less counterparty capital than an undermargined one, which is another reason the margin terms matter to your economics and not only to your safety.</w:t>
      </w:r>
    </w:p>
    <w:p>
      <w:pPr>
        <w:pStyle w:val="BodyText"/>
      </w:pPr>
      <w:r>
        <w:t xml:space="preserve">Market risk capital applies to any warehoused leg you do not hedge. To the extent you carry a synthetic long that is not matched or proxied away, you hold market risk against it and are charged capital for it. The cleaner your hedge, the lower this charge.</w:t>
      </w:r>
    </w:p>
    <w:p>
      <w:pPr>
        <w:pStyle w:val="BodyText"/>
      </w:pPr>
      <w:r>
        <w:t xml:space="preserve">Funding and balance sheet apply through the mechanics of the position and any cash hedge. The swap itself is off the notional, but collateral flows, any cash instruments used to hedge, and the leverage-ratio treatment of the exposure all consume balance sheet that the desk funds and is measured on. The leverage ratio in particular can bind even on collateralized exposures, because it is measured on exposure rather than on risk.</w:t>
      </w:r>
    </w:p>
    <w:p>
      <w:pPr>
        <w:pStyle w:val="BodyText"/>
      </w:pPr>
      <w:r>
        <w:t xml:space="preserve">The implication is a return-on-resources test. You are committing counterparty capital, possibly market-risk capital, and balance sheet, and the financing spread plus bid-offer must clear a target return on those resources. This is why the quote is not simply your hedge cost plus a markup, it is hedge cost plus capital cost plus funding plus a franchise-adjusted margin. A trade that looks profitable on running spread alone can fail the return-on-capital test once these are loaded in, and pricing it without them is how desks write risk that does not earn its keep.</w:t>
      </w:r>
    </w:p>
    <w:p>
      <w:r>
        <w:pict>
          <v:rect style="width:0;height:1.5pt" o:hralign="center" o:hrstd="t" o:hr="t"/>
        </w:pict>
      </w:r>
    </w:p>
    <w:bookmarkEnd w:id="47"/>
    <w:bookmarkStart w:id="48" w:name="pricing-the-trade"/>
    <w:p>
      <w:pPr>
        <w:pStyle w:val="Heading1"/>
      </w:pPr>
      <w:r>
        <w:t xml:space="preserve">8. Pricing The Trade</w:t>
      </w:r>
    </w:p>
    <w:p>
      <w:pPr>
        <w:pStyle w:val="FirstParagraph"/>
      </w:pPr>
      <w:r>
        <w:t xml:space="preserve">Pricing is the financing spread you quote the client, built as a waterfall.</w:t>
      </w:r>
    </w:p>
    <w:p>
      <w:pPr>
        <w:pStyle w:val="BodyText"/>
      </w:pPr>
      <w:r>
        <w:t xml:space="preserve">Start with the hedge cost. If you can match, the cost is low and is essentially the give-up needed to attract the offsetting long. If you must proxy, the cost is the carry and expected basis cost of the equity or index hedge. If you must warehouse, the cost is the capital charge and the expected cost of the price risk you carry.</w:t>
      </w:r>
    </w:p>
    <w:p>
      <w:pPr>
        <w:pStyle w:val="BodyText"/>
      </w:pPr>
      <w:r>
        <w:t xml:space="preserve">Add the capital and balance-sheet charge from Section 7, converting the counterparty capital, any market-risk capital, and the leverage-ratio balance sheet into a running basis-point cost on notional.</w:t>
      </w:r>
    </w:p>
    <w:p>
      <w:pPr>
        <w:pStyle w:val="BodyText"/>
      </w:pPr>
      <w:r>
        <w:t xml:space="preserve">Add funding for any cash hedge legs and for the collateral mechanics.</w:t>
      </w:r>
    </w:p>
    <w:p>
      <w:pPr>
        <w:pStyle w:val="BodyText"/>
      </w:pPr>
      <w:r>
        <w:t xml:space="preserve">Add a franchise-adjusted margin, which reflects the scarcity of the service and the relationship. Because this is a hard-to-provide short in a name that cannot be shorted in cash, the scarcity supports a wider margin than a routine long-side swap would carry.</w:t>
      </w:r>
    </w:p>
    <w:p>
      <w:pPr>
        <w:pStyle w:val="BodyText"/>
      </w:pPr>
      <w:r>
        <w:t xml:space="preserve">The sum is your quoted financing spread. If that spread is one the client will accept and it clears your return-on-capital hurdle, you trade. If matching is impossible, the warehouse charge is high, and the client will not pay the resulting wide spread, you reduce size to what you can hedge or you pass. The quote is the mechanism that transfers the difficulty of the trade back to the client, and if the client will not bear it, the trade should not be done at the size requested.</w:t>
      </w:r>
    </w:p>
    <w:p>
      <w:r>
        <w:pict>
          <v:rect style="width:0;height:1.5pt" o:hralign="center" o:hrstd="t" o:hr="t"/>
        </w:pict>
      </w:r>
    </w:p>
    <w:bookmarkEnd w:id="48"/>
    <w:bookmarkStart w:id="49" w:name="Xbb20dd08b7c322a41491287b83544d265ab2557"/>
    <w:p>
      <w:pPr>
        <w:pStyle w:val="Heading1"/>
      </w:pPr>
      <w:r>
        <w:t xml:space="preserve">9. Compliance and Conflicts: The Administrative-Agent Problem</w:t>
      </w:r>
    </w:p>
    <w:p>
      <w:pPr>
        <w:pStyle w:val="FirstParagraph"/>
      </w:pPr>
      <w:r>
        <w:t xml:space="preserve">This trade carries a house-specific conflict that must be cleared before any risk conversation matters. The institution is the administrative agent on the GoodRx term loan and was an arranger. That role gives the agency and lending side of the house access to borrower information that is not public, potentially including lender-only materials and material non-public information.</w:t>
      </w:r>
    </w:p>
    <w:p>
      <w:pPr>
        <w:pStyle w:val="BodyText"/>
      </w:pPr>
      <w:r>
        <w:t xml:space="preserve">The trading desk that writes this swap must sit behind the information barrier and operate on the public side. It must not use, and must not appear to use, agency-side or lender-only information to price or position the trade. If anyone on the desk holds material non-public information on GoodRx, the desk cannot trade until that information is public or the person is appropriately walled off. The routine safeguard is that the flow desk is separated from the agency and private-side functions by the information barrier, and it trades on public information only.</w:t>
      </w:r>
    </w:p>
    <w:p>
      <w:pPr>
        <w:pStyle w:val="BodyText"/>
      </w:pPr>
      <w:r>
        <w:t xml:space="preserve">There is also a conflict-of-interest and reputational dimension. The house facilitating a client’s short of a loan the house agents is not improper in itself, and desks provide this kind of two-way liquidity as a normal service, but it must be handled within the firm’s conflicts framework, with the appropriate disclosures and approvals, and with sensitivity to the agency relationship with the borrower. The correct posture is to confirm with compliance that the desk is clear, that the information barrier is intact, and that the trade is consistent with the firm’s conflicts policies before committing risk. This is not a formality to note at the end. For this specific name and this specific house, it is a gating condition at the front.</w:t>
      </w:r>
    </w:p>
    <w:p>
      <w:r>
        <w:pict>
          <v:rect style="width:0;height:1.5pt" o:hralign="center" o:hrstd="t" o:hr="t"/>
        </w:pict>
      </w:r>
    </w:p>
    <w:bookmarkEnd w:id="49"/>
    <w:bookmarkStart w:id="50" w:name="dealer-scenario-pl"/>
    <w:p>
      <w:pPr>
        <w:pStyle w:val="Heading1"/>
      </w:pPr>
      <w:r>
        <w:t xml:space="preserve">10. Dealer Scenario P&amp;L</w:t>
      </w:r>
    </w:p>
    <w:p>
      <w:pPr>
        <w:pStyle w:val="FirstParagraph"/>
      </w:pPr>
      <w:r>
        <w:t xml:space="preserve">The table mirrors the client’s, from your seat, on a 15 million dollar notional with an entry reference price of 98.75. The unhedged column shows your swap P&amp;L if you warehouse the long with no hedge. The matched column shows your P&amp;L if you have internalized against a natural long and simply keep the bid-offer. Figures are illustrative.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Loan path</w:t>
            </w:r>
          </w:p>
        </w:tc>
        <w:tc>
          <w:tcPr/>
          <w:p>
            <w:pPr>
              <w:pStyle w:val="Compact"/>
              <w:jc w:val="left"/>
            </w:pPr>
            <w:r>
              <w:t xml:space="preserve">Client (short) result</w:t>
            </w:r>
          </w:p>
        </w:tc>
        <w:tc>
          <w:tcPr/>
          <w:p>
            <w:pPr>
              <w:pStyle w:val="Compact"/>
              <w:jc w:val="left"/>
            </w:pPr>
            <w:r>
              <w:t xml:space="preserve">You, unhedged (warehoused long)</w:t>
            </w:r>
          </w:p>
        </w:tc>
        <w:tc>
          <w:tcPr/>
          <w:p>
            <w:pPr>
              <w:pStyle w:val="Compact"/>
              <w:jc w:val="left"/>
            </w:pPr>
            <w:r>
              <w:t xml:space="preserve">You, matched book</w:t>
            </w:r>
          </w:p>
        </w:tc>
      </w:tr>
      <w:tr>
        <w:tc>
          <w:tcPr/>
          <w:p>
            <w:pPr>
              <w:pStyle w:val="Compact"/>
              <w:jc w:val="left"/>
            </w:pPr>
            <w:r>
              <w:t xml:space="preserve">Catalyst gap wider</w:t>
            </w:r>
          </w:p>
        </w:tc>
        <w:tc>
          <w:tcPr/>
          <w:p>
            <w:pPr>
              <w:pStyle w:val="Compact"/>
              <w:jc w:val="left"/>
            </w:pPr>
            <w:r>
              <w:t xml:space="preserve">98.75 → 91.0</w:t>
            </w:r>
          </w:p>
        </w:tc>
        <w:tc>
          <w:tcPr/>
          <w:p>
            <w:pPr>
              <w:pStyle w:val="Compact"/>
              <w:jc w:val="left"/>
            </w:pPr>
            <w:r>
              <w:t xml:space="preserve">Large gain</w:t>
            </w:r>
          </w:p>
        </w:tc>
        <w:tc>
          <w:tcPr/>
          <w:p>
            <w:pPr>
              <w:pStyle w:val="Compact"/>
              <w:jc w:val="left"/>
            </w:pPr>
            <w:r>
              <w:t xml:space="preserve">Large loss on the long, offset partly by carry earned</w:t>
            </w:r>
          </w:p>
        </w:tc>
        <w:tc>
          <w:tcPr/>
          <w:p>
            <w:pPr>
              <w:pStyle w:val="Compact"/>
              <w:jc w:val="left"/>
            </w:pPr>
            <w:r>
              <w:t xml:space="preserve">Flat on price, keep bid-offer</w:t>
            </w:r>
          </w:p>
        </w:tc>
      </w:tr>
      <w:tr>
        <w:tc>
          <w:tcPr/>
          <w:p>
            <w:pPr>
              <w:pStyle w:val="Compact"/>
              <w:jc w:val="left"/>
            </w:pPr>
            <w:r>
              <w:t xml:space="preserve">Severe widening</w:t>
            </w:r>
          </w:p>
        </w:tc>
        <w:tc>
          <w:tcPr/>
          <w:p>
            <w:pPr>
              <w:pStyle w:val="Compact"/>
              <w:jc w:val="left"/>
            </w:pPr>
            <w:r>
              <w:t xml:space="preserve">98.75 → 85.0</w:t>
            </w:r>
          </w:p>
        </w:tc>
        <w:tc>
          <w:tcPr/>
          <w:p>
            <w:pPr>
              <w:pStyle w:val="Compact"/>
              <w:jc w:val="left"/>
            </w:pPr>
            <w:r>
              <w:t xml:space="preserve">Larger gain</w:t>
            </w:r>
          </w:p>
        </w:tc>
        <w:tc>
          <w:tcPr/>
          <w:p>
            <w:pPr>
              <w:pStyle w:val="Compact"/>
              <w:jc w:val="left"/>
            </w:pPr>
            <w:r>
              <w:t xml:space="preserve">Large loss on the long</w:t>
            </w:r>
          </w:p>
        </w:tc>
        <w:tc>
          <w:tcPr/>
          <w:p>
            <w:pPr>
              <w:pStyle w:val="Compact"/>
              <w:jc w:val="left"/>
            </w:pPr>
            <w:r>
              <w:t xml:space="preserve">Flat on price, keep bid-offer</w:t>
            </w:r>
          </w:p>
        </w:tc>
      </w:tr>
      <w:tr>
        <w:tc>
          <w:tcPr/>
          <w:p>
            <w:pPr>
              <w:pStyle w:val="Compact"/>
              <w:jc w:val="left"/>
            </w:pPr>
            <w:r>
              <w:t xml:space="preserve">Base grind wider</w:t>
            </w:r>
          </w:p>
        </w:tc>
        <w:tc>
          <w:tcPr/>
          <w:p>
            <w:pPr>
              <w:pStyle w:val="Compact"/>
              <w:jc w:val="left"/>
            </w:pPr>
            <w:r>
              <w:t xml:space="preserve">98.75 → 94.5</w:t>
            </w:r>
          </w:p>
        </w:tc>
        <w:tc>
          <w:tcPr/>
          <w:p>
            <w:pPr>
              <w:pStyle w:val="Compact"/>
              <w:jc w:val="left"/>
            </w:pPr>
            <w:r>
              <w:t xml:space="preserve">Small gain net of carry</w:t>
            </w:r>
          </w:p>
        </w:tc>
        <w:tc>
          <w:tcPr/>
          <w:p>
            <w:pPr>
              <w:pStyle w:val="Compact"/>
              <w:jc w:val="left"/>
            </w:pPr>
            <w:r>
              <w:t xml:space="preserve">Modest loss on the long, partly offset by carry</w:t>
            </w:r>
          </w:p>
        </w:tc>
        <w:tc>
          <w:tcPr/>
          <w:p>
            <w:pPr>
              <w:pStyle w:val="Compact"/>
              <w:jc w:val="left"/>
            </w:pPr>
            <w:r>
              <w:t xml:space="preserve">Flat on price, keep bid-offer</w:t>
            </w:r>
          </w:p>
        </w:tc>
      </w:tr>
      <w:tr>
        <w:tc>
          <w:tcPr/>
          <w:p>
            <w:pPr>
              <w:pStyle w:val="Compact"/>
              <w:jc w:val="left"/>
            </w:pPr>
            <w:r>
              <w:t xml:space="preserve">Sideways</w:t>
            </w:r>
          </w:p>
        </w:tc>
        <w:tc>
          <w:tcPr/>
          <w:p>
            <w:pPr>
              <w:pStyle w:val="Compact"/>
              <w:jc w:val="left"/>
            </w:pPr>
            <w:r>
              <w:t xml:space="preserve">98.75 → 98.75</w:t>
            </w:r>
          </w:p>
        </w:tc>
        <w:tc>
          <w:tcPr/>
          <w:p>
            <w:pPr>
              <w:pStyle w:val="Compact"/>
              <w:jc w:val="left"/>
            </w:pPr>
            <w:r>
              <w:t xml:space="preserve">Loses carry</w:t>
            </w:r>
          </w:p>
        </w:tc>
        <w:tc>
          <w:tcPr/>
          <w:p>
            <w:pPr>
              <w:pStyle w:val="Compact"/>
              <w:jc w:val="left"/>
            </w:pPr>
            <w:r>
              <w:t xml:space="preserve">Earns carry (375 plus financing spread), no price move</w:t>
            </w:r>
          </w:p>
        </w:tc>
        <w:tc>
          <w:tcPr/>
          <w:p>
            <w:pPr>
              <w:pStyle w:val="Compact"/>
              <w:jc w:val="left"/>
            </w:pPr>
            <w:r>
              <w:t xml:space="preserve">Flat on price, keep bid-offer</w:t>
            </w:r>
          </w:p>
        </w:tc>
      </w:tr>
      <w:tr>
        <w:tc>
          <w:tcPr/>
          <w:p>
            <w:pPr>
              <w:pStyle w:val="Compact"/>
              <w:jc w:val="left"/>
            </w:pPr>
            <w:r>
              <w:t xml:space="preserve">Par take-out (M&amp;A)</w:t>
            </w:r>
          </w:p>
        </w:tc>
        <w:tc>
          <w:tcPr/>
          <w:p>
            <w:pPr>
              <w:pStyle w:val="Compact"/>
              <w:jc w:val="left"/>
            </w:pPr>
            <w:r>
              <w:t xml:space="preserve">98.75 → 100.0</w:t>
            </w:r>
          </w:p>
        </w:tc>
        <w:tc>
          <w:tcPr/>
          <w:p>
            <w:pPr>
              <w:pStyle w:val="Compact"/>
              <w:jc w:val="left"/>
            </w:pPr>
            <w:r>
              <w:t xml:space="preserve">Loses carry plus pull to par</w:t>
            </w:r>
          </w:p>
        </w:tc>
        <w:tc>
          <w:tcPr/>
          <w:p>
            <w:pPr>
              <w:pStyle w:val="Compact"/>
              <w:jc w:val="left"/>
            </w:pPr>
            <w:r>
              <w:t xml:space="preserve">Gains the pull to par plus carry</w:t>
            </w:r>
          </w:p>
        </w:tc>
        <w:tc>
          <w:tcPr/>
          <w:p>
            <w:pPr>
              <w:pStyle w:val="Compact"/>
              <w:jc w:val="left"/>
            </w:pPr>
            <w:r>
              <w:t xml:space="preserve">Flat on price, keep bid-offer</w:t>
            </w:r>
          </w:p>
        </w:tc>
      </w:tr>
    </w:tbl>
    <w:p>
      <w:pPr>
        <w:pStyle w:val="BodyText"/>
      </w:pPr>
      <w:r>
        <w:t xml:space="preserve">Two features stand out. First, the matched book is flat across every scenario and simply earns the bid-offer, which is why internalization is the goal. Second, the unhedged warehouse is the exact opposite of the client, so it is hurt by the widening the client is hoping for and helped by the par take-out that ruins the client. If you must warehouse, you are taking a genuine long-credit view on GoodRx, and you should only do so knowingly and within limits. If you can match or proxy, you neutralize that view and monetize the service instead.</w:t>
      </w:r>
    </w:p>
    <w:p>
      <w:r>
        <w:pict>
          <v:rect style="width:0;height:1.5pt" o:hralign="center" o:hrstd="t" o:hr="t"/>
        </w:pict>
      </w:r>
    </w:p>
    <w:bookmarkEnd w:id="50"/>
    <w:bookmarkStart w:id="51" w:name="Xecd7fd5114dae58023b3b580ba1f1835f5cdc56"/>
    <w:p>
      <w:pPr>
        <w:pStyle w:val="Heading1"/>
      </w:pPr>
      <w:r>
        <w:t xml:space="preserve">11. Risk Management, Limits, and What You Monitor</w:t>
      </w:r>
    </w:p>
    <w:p>
      <w:pPr>
        <w:pStyle w:val="FirstParagraph"/>
      </w:pPr>
      <w:r>
        <w:t xml:space="preserve">Run the position against a name limit for GoodRx-specific spread risk, so the warehoused residual can never grow beyond your appetite regardless of client demand. Cap the notional you will write to what you can hedge or warehouse within that limit, and widen your quote as the residual grows.</w:t>
      </w:r>
    </w:p>
    <w:p>
      <w:pPr>
        <w:pStyle w:val="BodyText"/>
      </w:pPr>
      <w:r>
        <w:t xml:space="preserve">Mark the position to a robust reference price source, and pin down the price source and dispute mechanics in the confirmation, because your variation margin and your close-out both depend on it and loan marks can be thin or stale.</w:t>
      </w:r>
    </w:p>
    <w:p>
      <w:pPr>
        <w:pStyle w:val="BodyText"/>
      </w:pPr>
      <w:r>
        <w:t xml:space="preserve">Hold a conservative Independent Amount calibrated to loan gap behavior, so a jump move against the client is covered before variation margin catches up.</w:t>
      </w:r>
    </w:p>
    <w:p>
      <w:pPr>
        <w:pStyle w:val="BodyText"/>
      </w:pPr>
      <w:r>
        <w:t xml:space="preserve">Monitor the catalysts that drive the name, since your warehoused long is most exposed around the same events the client is targeting, the August 5 Q2 print and any rating, litigation, or M&amp;A developments. A par take-out helps your warehoused long but ends the client’s trade and the flow, so it affects both your risk and your revenue.</w:t>
      </w:r>
    </w:p>
    <w:p>
      <w:pPr>
        <w:pStyle w:val="BodyText"/>
      </w:pPr>
      <w:r>
        <w:t xml:space="preserve">Keep the information barrier clean throughout the life of the trade, not only at inception, since the house remains agent on the loan and the desk must stay on the public side.</w:t>
      </w:r>
    </w:p>
    <w:p>
      <w:pPr>
        <w:pStyle w:val="BodyText"/>
      </w:pPr>
      <w:r>
        <w:t xml:space="preserve">Manage roll and unwind proactively, capturing bid-offer on turnover while re-striking the reference price and the financing spread to current market, which also lets you reprice the risk as the name evolves.</w:t>
      </w:r>
    </w:p>
    <w:p>
      <w:r>
        <w:pict>
          <v:rect style="width:0;height:1.5pt" o:hralign="center" o:hrstd="t" o:hr="t"/>
        </w:pict>
      </w:r>
    </w:p>
    <w:bookmarkEnd w:id="51"/>
    <w:bookmarkStart w:id="52" w:name="questions-you-should-expect-dealer-seat"/>
    <w:p>
      <w:pPr>
        <w:pStyle w:val="Heading1"/>
      </w:pPr>
      <w:r>
        <w:t xml:space="preserve">12. Questions You Should Expect (Dealer Seat)</w:t>
      </w:r>
    </w:p>
    <w:p>
      <w:pPr>
        <w:pStyle w:val="FirstParagraph"/>
      </w:pPr>
      <w:r>
        <w:rPr>
          <w:bCs/>
          <w:b/>
        </w:rPr>
        <w:t xml:space="preserve">Q1. You wrote the client a short. What are you now?</w:t>
      </w:r>
      <w:r>
        <w:t xml:space="preserve"> </w:t>
      </w:r>
      <w:r>
        <w:t xml:space="preserve">Synthetically long the loan. I receive the total return and pay financing, so I gain if it richens and lose if it widens. Writing the swap did not leave me flat, it put me on the opposite side of the client.</w:t>
      </w:r>
    </w:p>
    <w:p>
      <w:pPr>
        <w:pStyle w:val="BodyText"/>
      </w:pPr>
      <w:r>
        <w:rPr>
          <w:bCs/>
          <w:b/>
        </w:rPr>
        <w:t xml:space="preserve">Q2. So just hedge it. Short the loan.</w:t>
      </w:r>
      <w:r>
        <w:t xml:space="preserve"> </w:t>
      </w:r>
      <w:r>
        <w:t xml:space="preserve">I cannot. Cash loans settle by assignment and cannot be borrowed or shorted, which is why the client needed a synthetic short in the first place. The natural hedge for my synthetic long is a cash short that does not exist. That is the core problem of the trade.</w:t>
      </w:r>
    </w:p>
    <w:p>
      <w:pPr>
        <w:pStyle w:val="BodyText"/>
      </w:pPr>
      <w:r>
        <w:rPr>
          <w:bCs/>
          <w:b/>
        </w:rPr>
        <w:t xml:space="preserve">Q3. Then buy the cash loan to hedge.</w:t>
      </w:r>
      <w:r>
        <w:t xml:space="preserve"> </w:t>
      </w:r>
      <w:r>
        <w:t xml:space="preserve">Buying the cash loan adds a second long on top of my synthetic long and doubles my exposure. It is the wrong direction. Buying cash hedges a client long, not a client short.</w:t>
      </w:r>
    </w:p>
    <w:p>
      <w:pPr>
        <w:pStyle w:val="BodyText"/>
      </w:pPr>
      <w:r>
        <w:rPr>
          <w:bCs/>
          <w:b/>
        </w:rPr>
        <w:t xml:space="preserve">Q4. How do you actually get flat?</w:t>
      </w:r>
      <w:r>
        <w:t xml:space="preserve"> </w:t>
      </w:r>
      <w:r>
        <w:t xml:space="preserve">Ideally a matched book, internalizing against a client who wants to be synthetically long, so the coupon and price cancel and I keep the bid-offer flat. Failing that, I proxy hedge the beta with an equity short or index protection and accept basis, and I warehouse the residual idiosyncratic long within limits.</w:t>
      </w:r>
    </w:p>
    <w:p>
      <w:pPr>
        <w:pStyle w:val="BodyText"/>
      </w:pPr>
      <w:r>
        <w:rPr>
          <w:bCs/>
          <w:b/>
        </w:rPr>
        <w:t xml:space="preserve">Q5. What is your revenue, precisely?</w:t>
      </w:r>
      <w:r>
        <w:t xml:space="preserve"> </w:t>
      </w:r>
      <w:r>
        <w:t xml:space="preserve">The financing spread I keep, roughly 100 to 200 basis points on notional, plus bid-offer on unwind and roll. On 15 million that is about 150,000 to 300,000 a year gross, before hedge cost, capital, and funding.</w:t>
      </w:r>
    </w:p>
    <w:p>
      <w:pPr>
        <w:pStyle w:val="BodyText"/>
      </w:pPr>
      <w:r>
        <w:rPr>
          <w:bCs/>
          <w:b/>
        </w:rPr>
        <w:t xml:space="preserve">Q6. Is the loan’s 375 spread your profit?</w:t>
      </w:r>
      <w:r>
        <w:t xml:space="preserve"> </w:t>
      </w:r>
      <w:r>
        <w:t xml:space="preserve">No. In a matched book it cancels and never reaches me. If I warehouse, I collect it, but only as compensation for the price risk I am carrying, which one bad mark can erase. My real fee is the financing spread and the bid-offer.</w:t>
      </w:r>
    </w:p>
    <w:p>
      <w:pPr>
        <w:pStyle w:val="BodyText"/>
      </w:pPr>
      <w:r>
        <w:rPr>
          <w:bCs/>
          <w:b/>
        </w:rPr>
        <w:t xml:space="preserve">Q7. Why charge more for a short than a long?</w:t>
      </w:r>
      <w:r>
        <w:t xml:space="preserve"> </w:t>
      </w:r>
      <w:r>
        <w:t xml:space="preserve">Because a client long is easy to hedge, I buy and hold the cash loan. A client short pushes me into a synthetic long I cannot cash-hedge, so I must match, proxy, or warehouse, all of which are harder and costlier. The financing spread has to carry that difficulty.</w:t>
      </w:r>
    </w:p>
    <w:p>
      <w:pPr>
        <w:pStyle w:val="BodyText"/>
      </w:pPr>
      <w:r>
        <w:rPr>
          <w:bCs/>
          <w:b/>
        </w:rPr>
        <w:t xml:space="preserve">Q8. Where does your counterparty risk to the client bite?</w:t>
      </w:r>
      <w:r>
        <w:t xml:space="preserve"> </w:t>
      </w:r>
      <w:r>
        <w:t xml:space="preserve">When the loan richens, because then the client is losing on the short and owes me. That is covered by the Independent Amount and daily variation margin. My residual is gap risk, a jump beyond the collateral before I can close out, which is why I set the Independent Amount conservatively for loan gap behavior.</w:t>
      </w:r>
    </w:p>
    <w:p>
      <w:pPr>
        <w:pStyle w:val="BodyText"/>
      </w:pPr>
      <w:r>
        <w:rPr>
          <w:bCs/>
          <w:b/>
        </w:rPr>
        <w:t xml:space="preserve">Q9. How much initial margin do you take?</w:t>
      </w:r>
      <w:r>
        <w:t xml:space="preserve"> </w:t>
      </w:r>
      <w:r>
        <w:t xml:space="preserve">An Independent Amount in the region of 10 to 20 percent of notional, calibrated to how far the loan can gap against the client before variation margin catches up. Loans gap more than continuously traded instruments, so I lean conservative.</w:t>
      </w:r>
    </w:p>
    <w:p>
      <w:pPr>
        <w:pStyle w:val="BodyText"/>
      </w:pPr>
      <w:r>
        <w:rPr>
          <w:bCs/>
          <w:b/>
        </w:rPr>
        <w:t xml:space="preserve">Q10. What does this cost you in capital?</w:t>
      </w:r>
      <w:r>
        <w:t xml:space="preserve"> </w:t>
      </w:r>
      <w:r>
        <w:t xml:space="preserve">Counterparty credit RWA on the client exposure, market-risk capital on any warehoused leg, and leverage-ratio balance sheet on the exposure. The quote has to clear a return on those resources, not just cover the hedge, or the trade does not earn its keep.</w:t>
      </w:r>
    </w:p>
    <w:p>
      <w:pPr>
        <w:pStyle w:val="BodyText"/>
      </w:pPr>
      <w:r>
        <w:rPr>
          <w:bCs/>
          <w:b/>
        </w:rPr>
        <w:t xml:space="preserve">Q11. What is your worst case?</w:t>
      </w:r>
      <w:r>
        <w:t xml:space="preserve"> </w:t>
      </w:r>
      <w:r>
        <w:t xml:space="preserve">The client is right and the loan gaps wider while I am unhedged or imperfectly hedged. My warehoused long loses exactly what the client gains. The mirror of that is that a par take-out, which kills the client’s trade, is good for my long.</w:t>
      </w:r>
    </w:p>
    <w:p>
      <w:pPr>
        <w:pStyle w:val="BodyText"/>
      </w:pPr>
      <w:r>
        <w:rPr>
          <w:bCs/>
          <w:b/>
        </w:rPr>
        <w:t xml:space="preserve">Q12. Does a par take-out help or hurt you?</w:t>
      </w:r>
      <w:r>
        <w:t xml:space="preserve"> </w:t>
      </w:r>
      <w:r>
        <w:t xml:space="preserve">It helps a warehoused long, because I am made whole at par and gain the pull from my entry mark. It ends the client’s trade and my flow, so it is good for my position and neutral-to-negative for my revenue stream. A matched book is indifferent.</w:t>
      </w:r>
    </w:p>
    <w:p>
      <w:pPr>
        <w:pStyle w:val="BodyText"/>
      </w:pPr>
      <w:r>
        <w:rPr>
          <w:bCs/>
          <w:b/>
        </w:rPr>
        <w:t xml:space="preserve">Q13. What is the compliance issue on this name?</w:t>
      </w:r>
      <w:r>
        <w:t xml:space="preserve"> </w:t>
      </w:r>
      <w:r>
        <w:t xml:space="preserve">The house is administrative agent and was an arranger on this loan, so the agency side may hold non-public borrower information. My desk must sit behind the information barrier and trade on public information only. If anyone on the desk holds material non-public information, we cannot trade until it is public or that person is walled off. I clear this with compliance before committing risk.</w:t>
      </w:r>
    </w:p>
    <w:p>
      <w:pPr>
        <w:pStyle w:val="BodyText"/>
      </w:pPr>
      <w:r>
        <w:rPr>
          <w:bCs/>
          <w:b/>
        </w:rPr>
        <w:t xml:space="preserve">Q14. Is it a conflict to short a loan your house agents?</w:t>
      </w:r>
      <w:r>
        <w:t xml:space="preserve"> </w:t>
      </w:r>
      <w:r>
        <w:t xml:space="preserve">Providing two-way liquidity is a normal service and is not improper in itself, but it must be handled within the firm’s conflicts framework, with the required disclosures and approvals, and behind an intact information barrier. For this name it is a gating condition at the front, not an afterthought.</w:t>
      </w:r>
    </w:p>
    <w:p>
      <w:pPr>
        <w:pStyle w:val="BodyText"/>
      </w:pPr>
      <w:r>
        <w:rPr>
          <w:bCs/>
          <w:b/>
        </w:rPr>
        <w:t xml:space="preserve">Q15. How big will you go?</w:t>
      </w:r>
      <w:r>
        <w:t xml:space="preserve"> </w:t>
      </w:r>
      <w:r>
        <w:t xml:space="preserve">As large as I can hedge, plus the residual I am willing to warehouse within my name limit. For a hard-to-source name I cap size and widen the quote as the warehoused residual grows, rather than writing unlimited notional the client might want.</w:t>
      </w:r>
    </w:p>
    <w:p>
      <w:pPr>
        <w:pStyle w:val="BodyText"/>
      </w:pPr>
      <w:r>
        <w:rPr>
          <w:bCs/>
          <w:b/>
        </w:rPr>
        <w:t xml:space="preserve">Q16. What if you cannot hedge and the client will not pay the wide quote?</w:t>
      </w:r>
      <w:r>
        <w:t xml:space="preserve"> </w:t>
      </w:r>
      <w:r>
        <w:t xml:space="preserve">Then I cut size to what I can hedge or I pass. The quote is how I transfer the difficulty back to the client. If the client will not bear it, the trade should not be done at that size.</w:t>
      </w:r>
    </w:p>
    <w:p>
      <w:pPr>
        <w:pStyle w:val="BodyText"/>
      </w:pPr>
      <w:r>
        <w:rPr>
          <w:bCs/>
          <w:b/>
        </w:rPr>
        <w:t xml:space="preserve">Q17. How do you mark it and why does the source matter?</w:t>
      </w:r>
      <w:r>
        <w:t xml:space="preserve"> </w:t>
      </w:r>
      <w:r>
        <w:t xml:space="preserve">To an agreed loan price composite or dealer poll. It matters because my variation margin and my close-out both depend on it, and loan marks can be thin or stale, which creates dispute and margin risk. I fix the source and the dispute mechanics in the confirmation.</w:t>
      </w:r>
    </w:p>
    <w:p>
      <w:pPr>
        <w:pStyle w:val="BodyText"/>
      </w:pPr>
      <w:r>
        <w:rPr>
          <w:bCs/>
          <w:b/>
        </w:rPr>
        <w:t xml:space="preserve">Q18. What do you watch over the life of the trade?</w:t>
      </w:r>
      <w:r>
        <w:t xml:space="preserve"> </w:t>
      </w:r>
      <w:r>
        <w:t xml:space="preserve">My name limit and warehoused residual, the reference-price integrity, the Independent Amount adequacy, the catalysts around which my long is most exposed, the information barrier staying clean, and roll and unwind opportunities to capture bid-offer and reprice.</w:t>
      </w:r>
    </w:p>
    <w:p>
      <w:pPr>
        <w:pStyle w:val="BodyText"/>
      </w:pPr>
      <w:r>
        <w:rPr>
          <w:bCs/>
          <w:b/>
        </w:rPr>
        <w:t xml:space="preserve">Q19. Give me the one-sentence version of your seat.</w:t>
      </w:r>
      <w:r>
        <w:t xml:space="preserve"> </w:t>
      </w:r>
      <w:r>
        <w:t xml:space="preserve">By facilitating the client’s short I become synthetically long a loan I cannot cash-hedge, so my job is to internalize against a natural long where I can, proxy or warehouse the rest within limits, price the financing spread to clear my hedge, capital, and funding costs, and do all of it behind a clean information barrier because the house agents this loan.</w:t>
      </w:r>
    </w:p>
    <w:p>
      <w:r>
        <w:pict>
          <v:rect style="width:0;height:1.5pt" o:hralign="center" o:hrstd="t" o:hr="t"/>
        </w:pict>
      </w:r>
    </w:p>
    <w:bookmarkEnd w:id="52"/>
    <w:bookmarkStart w:id="59" w:name="appendix"/>
    <w:p>
      <w:pPr>
        <w:pStyle w:val="Heading1"/>
      </w:pPr>
      <w:r>
        <w:t xml:space="preserve">13. Appendix</w:t>
      </w:r>
    </w:p>
    <w:bookmarkStart w:id="53" w:name="position-and-revenue-at-a-glance"/>
    <w:p>
      <w:pPr>
        <w:pStyle w:val="Heading2"/>
      </w:pPr>
      <w:r>
        <w:t xml:space="preserve">13.1 Position and Revenue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Your seat</w:t>
            </w:r>
          </w:p>
        </w:tc>
      </w:tr>
      <w:tr>
        <w:tc>
          <w:tcPr/>
          <w:p>
            <w:pPr>
              <w:pStyle w:val="Compact"/>
              <w:jc w:val="left"/>
            </w:pPr>
            <w:r>
              <w:t xml:space="preserve">Role</w:t>
            </w:r>
          </w:p>
        </w:tc>
        <w:tc>
          <w:tcPr/>
          <w:p>
            <w:pPr>
              <w:pStyle w:val="Compact"/>
              <w:jc w:val="left"/>
            </w:pPr>
            <w:r>
              <w:t xml:space="preserve">Total Return Receiver</w:t>
            </w:r>
          </w:p>
        </w:tc>
      </w:tr>
      <w:tr>
        <w:tc>
          <w:tcPr/>
          <w:p>
            <w:pPr>
              <w:pStyle w:val="Compact"/>
              <w:jc w:val="left"/>
            </w:pPr>
            <w:r>
              <w:t xml:space="preserve">Economic position</w:t>
            </w:r>
          </w:p>
        </w:tc>
        <w:tc>
          <w:tcPr/>
          <w:p>
            <w:pPr>
              <w:pStyle w:val="Compact"/>
              <w:jc w:val="left"/>
            </w:pPr>
            <w:r>
              <w:t xml:space="preserve">Synthetic long the loan</w:t>
            </w:r>
          </w:p>
        </w:tc>
      </w:tr>
      <w:tr>
        <w:tc>
          <w:tcPr/>
          <w:p>
            <w:pPr>
              <w:pStyle w:val="Compact"/>
              <w:jc w:val="left"/>
            </w:pPr>
            <w:r>
              <w:t xml:space="preserve">Gain when</w:t>
            </w:r>
          </w:p>
        </w:tc>
        <w:tc>
          <w:tcPr/>
          <w:p>
            <w:pPr>
              <w:pStyle w:val="Compact"/>
              <w:jc w:val="left"/>
            </w:pPr>
            <w:r>
              <w:t xml:space="preserve">Loan richens or is taken out at par</w:t>
            </w:r>
          </w:p>
        </w:tc>
      </w:tr>
      <w:tr>
        <w:tc>
          <w:tcPr/>
          <w:p>
            <w:pPr>
              <w:pStyle w:val="Compact"/>
              <w:jc w:val="left"/>
            </w:pPr>
            <w:r>
              <w:t xml:space="preserve">Lose when</w:t>
            </w:r>
          </w:p>
        </w:tc>
        <w:tc>
          <w:tcPr/>
          <w:p>
            <w:pPr>
              <w:pStyle w:val="Compact"/>
              <w:jc w:val="left"/>
            </w:pPr>
            <w:r>
              <w:t xml:space="preserve">Loan widens (unhedged)</w:t>
            </w:r>
          </w:p>
        </w:tc>
      </w:tr>
      <w:tr>
        <w:tc>
          <w:tcPr/>
          <w:p>
            <w:pPr>
              <w:pStyle w:val="Compact"/>
              <w:jc w:val="left"/>
            </w:pPr>
            <w:r>
              <w:t xml:space="preserve">Core fee</w:t>
            </w:r>
          </w:p>
        </w:tc>
        <w:tc>
          <w:tcPr/>
          <w:p>
            <w:pPr>
              <w:pStyle w:val="Compact"/>
              <w:jc w:val="left"/>
            </w:pPr>
            <w:r>
              <w:t xml:space="preserve">Financing spread (~100-200 bps) plus bid-offer</w:t>
            </w:r>
          </w:p>
        </w:tc>
      </w:tr>
      <w:tr>
        <w:tc>
          <w:tcPr/>
          <w:p>
            <w:pPr>
              <w:pStyle w:val="Compact"/>
              <w:jc w:val="left"/>
            </w:pPr>
            <w:r>
              <w:t xml:space="preserve">Risk compensation</w:t>
            </w:r>
          </w:p>
        </w:tc>
        <w:tc>
          <w:tcPr/>
          <w:p>
            <w:pPr>
              <w:pStyle w:val="Compact"/>
              <w:jc w:val="left"/>
            </w:pPr>
            <w:r>
              <w:t xml:space="preserve">Loan 375 spread, only if warehousing</w:t>
            </w:r>
          </w:p>
        </w:tc>
      </w:tr>
      <w:tr>
        <w:tc>
          <w:tcPr/>
          <w:p>
            <w:pPr>
              <w:pStyle w:val="Compact"/>
              <w:jc w:val="left"/>
            </w:pPr>
            <w:r>
              <w:t xml:space="preserve">Best hedge</w:t>
            </w:r>
          </w:p>
        </w:tc>
        <w:tc>
          <w:tcPr/>
          <w:p>
            <w:pPr>
              <w:pStyle w:val="Compact"/>
              <w:jc w:val="left"/>
            </w:pPr>
            <w:r>
              <w:t xml:space="preserve">Matched book (flat, keep bid-offer)</w:t>
            </w:r>
          </w:p>
        </w:tc>
      </w:tr>
      <w:tr>
        <w:tc>
          <w:tcPr/>
          <w:p>
            <w:pPr>
              <w:pStyle w:val="Compact"/>
              <w:jc w:val="left"/>
            </w:pPr>
            <w:r>
              <w:t xml:space="preserve">Fallback hedges</w:t>
            </w:r>
          </w:p>
        </w:tc>
        <w:tc>
          <w:tcPr/>
          <w:p>
            <w:pPr>
              <w:pStyle w:val="Compact"/>
              <w:jc w:val="left"/>
            </w:pPr>
            <w:r>
              <w:t xml:space="preserve">Equity short, index protection, correlated short (basis)</w:t>
            </w:r>
          </w:p>
        </w:tc>
      </w:tr>
      <w:tr>
        <w:tc>
          <w:tcPr/>
          <w:p>
            <w:pPr>
              <w:pStyle w:val="Compact"/>
              <w:jc w:val="left"/>
            </w:pPr>
            <w:r>
              <w:t xml:space="preserve">Cannot hedge by</w:t>
            </w:r>
          </w:p>
        </w:tc>
        <w:tc>
          <w:tcPr/>
          <w:p>
            <w:pPr>
              <w:pStyle w:val="Compact"/>
              <w:jc w:val="left"/>
            </w:pPr>
            <w:r>
              <w:t xml:space="preserve">Shorting or buying the cash loan</w:t>
            </w:r>
          </w:p>
        </w:tc>
      </w:tr>
      <w:tr>
        <w:tc>
          <w:tcPr/>
          <w:p>
            <w:pPr>
              <w:pStyle w:val="Compact"/>
              <w:jc w:val="left"/>
            </w:pPr>
            <w:r>
              <w:t xml:space="preserve">Counterparty risk bites</w:t>
            </w:r>
          </w:p>
        </w:tc>
        <w:tc>
          <w:tcPr/>
          <w:p>
            <w:pPr>
              <w:pStyle w:val="Compact"/>
              <w:jc w:val="left"/>
            </w:pPr>
            <w:r>
              <w:t xml:space="preserve">When loan richens (client owes you)</w:t>
            </w:r>
          </w:p>
        </w:tc>
      </w:tr>
      <w:tr>
        <w:tc>
          <w:tcPr/>
          <w:p>
            <w:pPr>
              <w:pStyle w:val="Compact"/>
              <w:jc w:val="left"/>
            </w:pPr>
            <w:r>
              <w:t xml:space="preserve">Collateral</w:t>
            </w:r>
          </w:p>
        </w:tc>
        <w:tc>
          <w:tcPr/>
          <w:p>
            <w:pPr>
              <w:pStyle w:val="Compact"/>
              <w:jc w:val="left"/>
            </w:pPr>
            <w:r>
              <w:t xml:space="preserve">ISDA and CSA, Independent Amount 10-20%, daily VM</w:t>
            </w:r>
          </w:p>
        </w:tc>
      </w:tr>
      <w:tr>
        <w:tc>
          <w:tcPr/>
          <w:p>
            <w:pPr>
              <w:pStyle w:val="Compact"/>
              <w:jc w:val="left"/>
            </w:pPr>
            <w:r>
              <w:t xml:space="preserve">Capital</w:t>
            </w:r>
          </w:p>
        </w:tc>
        <w:tc>
          <w:tcPr/>
          <w:p>
            <w:pPr>
              <w:pStyle w:val="Compact"/>
              <w:jc w:val="left"/>
            </w:pPr>
            <w:r>
              <w:t xml:space="preserve">CCR RWA, market-risk on warehoused leg, leverage ratio</w:t>
            </w:r>
          </w:p>
        </w:tc>
      </w:tr>
      <w:tr>
        <w:tc>
          <w:tcPr/>
          <w:p>
            <w:pPr>
              <w:pStyle w:val="Compact"/>
              <w:jc w:val="left"/>
            </w:pPr>
            <w:r>
              <w:t xml:space="preserve">Gating item</w:t>
            </w:r>
          </w:p>
        </w:tc>
        <w:tc>
          <w:tcPr/>
          <w:p>
            <w:pPr>
              <w:pStyle w:val="Compact"/>
              <w:jc w:val="left"/>
            </w:pPr>
            <w:r>
              <w:t xml:space="preserve">Information barrier (house is agent and arranger)</w:t>
            </w:r>
          </w:p>
        </w:tc>
      </w:tr>
    </w:tbl>
    <w:bookmarkEnd w:id="53"/>
    <w:bookmarkStart w:id="54" w:name="the-hedge-decision-tree"/>
    <w:p>
      <w:pPr>
        <w:pStyle w:val="Heading2"/>
      </w:pPr>
      <w:r>
        <w:t xml:space="preserve">13.2 The Hedge Decision Tree</w:t>
      </w:r>
    </w:p>
    <w:p>
      <w:pPr>
        <w:numPr>
          <w:ilvl w:val="0"/>
          <w:numId w:val="1001"/>
        </w:numPr>
        <w:pStyle w:val="Compact"/>
      </w:pPr>
      <w:r>
        <w:t xml:space="preserve">Can I internalize against a natural synthetic long in the name? If yes, match and keep the bid-offer flat.</w:t>
      </w:r>
    </w:p>
    <w:p>
      <w:pPr>
        <w:numPr>
          <w:ilvl w:val="0"/>
          <w:numId w:val="1001"/>
        </w:numPr>
        <w:pStyle w:val="Compact"/>
      </w:pPr>
      <w:r>
        <w:t xml:space="preserve">For the unmatched residual, can I proxy the beta with an equity short or index protection at acceptable basis? If yes, overlay and hold the idiosyncratic residual.</w:t>
      </w:r>
    </w:p>
    <w:p>
      <w:pPr>
        <w:numPr>
          <w:ilvl w:val="0"/>
          <w:numId w:val="1001"/>
        </w:numPr>
        <w:pStyle w:val="Compact"/>
      </w:pPr>
      <w:r>
        <w:t xml:space="preserve">For what remains, am I willing to warehouse the long within my name limit at a price that compensates me? If yes, warehouse and charge for it. If no, cut size or pass.</w:t>
      </w:r>
    </w:p>
    <w:bookmarkEnd w:id="54"/>
    <w:bookmarkStart w:id="55" w:name="pricing-waterfall-financing-spread"/>
    <w:p>
      <w:pPr>
        <w:pStyle w:val="Heading2"/>
      </w:pPr>
      <w:r>
        <w:t xml:space="preserve">13.3 Pricing Waterfall (Financing Spread)</w:t>
      </w:r>
    </w:p>
    <w:p>
      <w:pPr>
        <w:pStyle w:val="FirstParagraph"/>
      </w:pPr>
      <w:r>
        <w:t xml:space="preserve">Hedge cost (match give-up, or proxy carry and basis, or warehouse capital and risk) plus counterparty capital and leverage-ratio balance-sheet cost plus funding of hedge and collateral mechanics plus franchise-adjusted, scarcity-adjusted margin equals quoted financing spread. Trade if it clears the client’s acceptance and your return-on-capital hurdle. Otherwise cut size or pass.</w:t>
      </w:r>
    </w:p>
    <w:bookmarkEnd w:id="55"/>
    <w:bookmarkStart w:id="56" w:name="key-definitions-dealer-framing"/>
    <w:p>
      <w:pPr>
        <w:pStyle w:val="Heading2"/>
      </w:pPr>
      <w:r>
        <w:t xml:space="preserve">13.4 Key Definitions (Dealer Framing)</w:t>
      </w:r>
    </w:p>
    <w:p>
      <w:pPr>
        <w:numPr>
          <w:ilvl w:val="0"/>
          <w:numId w:val="1002"/>
        </w:numPr>
        <w:pStyle w:val="Compact"/>
      </w:pPr>
      <w:r>
        <w:rPr>
          <w:bCs/>
          <w:b/>
        </w:rPr>
        <w:t xml:space="preserve">Total Return Receiver:</w:t>
      </w:r>
      <w:r>
        <w:t xml:space="preserve"> </w:t>
      </w:r>
      <w:r>
        <w:t xml:space="preserve">Your role. You receive the loan’s total return and pay financing. Economically long.</w:t>
      </w:r>
    </w:p>
    <w:p>
      <w:pPr>
        <w:numPr>
          <w:ilvl w:val="0"/>
          <w:numId w:val="1002"/>
        </w:numPr>
        <w:pStyle w:val="Compact"/>
      </w:pPr>
      <w:r>
        <w:rPr>
          <w:bCs/>
          <w:b/>
        </w:rPr>
        <w:t xml:space="preserve">Matched book:</w:t>
      </w:r>
      <w:r>
        <w:t xml:space="preserve"> </w:t>
      </w:r>
      <w:r>
        <w:t xml:space="preserve">Facing offsetting long and short clients so price and coupon cancel and you keep the bid-offer with no price risk.</w:t>
      </w:r>
    </w:p>
    <w:p>
      <w:pPr>
        <w:numPr>
          <w:ilvl w:val="0"/>
          <w:numId w:val="1002"/>
        </w:numPr>
        <w:pStyle w:val="Compact"/>
      </w:pPr>
      <w:r>
        <w:rPr>
          <w:bCs/>
          <w:b/>
        </w:rPr>
        <w:t xml:space="preserve">Warehousing:</w:t>
      </w:r>
      <w:r>
        <w:t xml:space="preserve"> </w:t>
      </w:r>
      <w:r>
        <w:t xml:space="preserve">Holding the unhedged synthetic long on your book within limits, earning carry and bearing price risk.</w:t>
      </w:r>
    </w:p>
    <w:p>
      <w:pPr>
        <w:numPr>
          <w:ilvl w:val="0"/>
          <w:numId w:val="1002"/>
        </w:numPr>
        <w:pStyle w:val="Compact"/>
      </w:pPr>
      <w:r>
        <w:rPr>
          <w:bCs/>
          <w:b/>
        </w:rPr>
        <w:t xml:space="preserve">Proxy hedge:</w:t>
      </w:r>
      <w:r>
        <w:t xml:space="preserve"> </w:t>
      </w:r>
      <w:r>
        <w:t xml:space="preserve">A correlated short (equity, credit index, correlated name) that offsets part of the exposure and leaves basis.</w:t>
      </w:r>
    </w:p>
    <w:p>
      <w:pPr>
        <w:numPr>
          <w:ilvl w:val="0"/>
          <w:numId w:val="1002"/>
        </w:numPr>
        <w:pStyle w:val="Compact"/>
      </w:pPr>
      <w:r>
        <w:rPr>
          <w:bCs/>
          <w:b/>
        </w:rPr>
        <w:t xml:space="preserve">Independent Amount:</w:t>
      </w:r>
      <w:r>
        <w:t xml:space="preserve"> </w:t>
      </w:r>
      <w:r>
        <w:t xml:space="preserve">Initial margin the client posts to you, cushioning gap risk before variation margin catches up.</w:t>
      </w:r>
    </w:p>
    <w:p>
      <w:pPr>
        <w:numPr>
          <w:ilvl w:val="0"/>
          <w:numId w:val="1002"/>
        </w:numPr>
        <w:pStyle w:val="Compact"/>
      </w:pPr>
      <w:r>
        <w:rPr>
          <w:bCs/>
          <w:b/>
        </w:rPr>
        <w:t xml:space="preserve">Information barrier:</w:t>
      </w:r>
      <w:r>
        <w:t xml:space="preserve"> </w:t>
      </w:r>
      <w:r>
        <w:t xml:space="preserve">The separation between the public-side trading desk and the private or agency side that holds borrower information, which the desk must respect.</w:t>
      </w:r>
    </w:p>
    <w:p>
      <w:pPr>
        <w:numPr>
          <w:ilvl w:val="0"/>
          <w:numId w:val="1002"/>
        </w:numPr>
        <w:pStyle w:val="Compact"/>
      </w:pPr>
      <w:r>
        <w:rPr>
          <w:bCs/>
          <w:b/>
        </w:rPr>
        <w:t xml:space="preserve">Financing spread:</w:t>
      </w:r>
      <w:r>
        <w:t xml:space="preserve"> </w:t>
      </w:r>
      <w:r>
        <w:t xml:space="preserve">The margin you keep on the financing leg, your core fee.</w:t>
      </w:r>
    </w:p>
    <w:p>
      <w:pPr>
        <w:numPr>
          <w:ilvl w:val="0"/>
          <w:numId w:val="1002"/>
        </w:numPr>
        <w:pStyle w:val="Compact"/>
      </w:pPr>
      <w:r>
        <w:rPr>
          <w:bCs/>
          <w:b/>
        </w:rPr>
        <w:t xml:space="preserve">Basis risk:</w:t>
      </w:r>
      <w:r>
        <w:t xml:space="preserve"> </w:t>
      </w:r>
      <w:r>
        <w:t xml:space="preserve">The residual risk that a proxy hedge does not track the actual exposure.</w:t>
      </w:r>
    </w:p>
    <w:bookmarkEnd w:id="56"/>
    <w:bookmarkStart w:id="57" w:name="to-confirm-before-committing-risk"/>
    <w:p>
      <w:pPr>
        <w:pStyle w:val="Heading2"/>
      </w:pPr>
      <w:r>
        <w:t xml:space="preserve">13.5 To Confirm Before Committing Risk</w:t>
      </w:r>
    </w:p>
    <w:p>
      <w:pPr>
        <w:numPr>
          <w:ilvl w:val="0"/>
          <w:numId w:val="1003"/>
        </w:numPr>
        <w:pStyle w:val="Compact"/>
      </w:pPr>
      <w:r>
        <w:t xml:space="preserve">Compliance sign-off that the desk is on the public side and the information barrier is intact for this name.</w:t>
      </w:r>
    </w:p>
    <w:p>
      <w:pPr>
        <w:numPr>
          <w:ilvl w:val="0"/>
          <w:numId w:val="1003"/>
        </w:numPr>
        <w:pStyle w:val="Compact"/>
      </w:pPr>
      <w:r>
        <w:t xml:space="preserve">The size you can internalize against natural longs, and the residual to proxy or warehouse.</w:t>
      </w:r>
    </w:p>
    <w:p>
      <w:pPr>
        <w:numPr>
          <w:ilvl w:val="0"/>
          <w:numId w:val="1003"/>
        </w:numPr>
        <w:pStyle w:val="Compact"/>
      </w:pPr>
      <w:r>
        <w:t xml:space="preserve">The live loan mark, the financing spread you can charge, and the funding and capital cost inputs.</w:t>
      </w:r>
    </w:p>
    <w:p>
      <w:pPr>
        <w:numPr>
          <w:ilvl w:val="0"/>
          <w:numId w:val="1003"/>
        </w:numPr>
        <w:pStyle w:val="Compact"/>
      </w:pPr>
      <w:r>
        <w:t xml:space="preserve">The Independent Amount and variation-margin terms calibrated to loan gap behavior.</w:t>
      </w:r>
    </w:p>
    <w:p>
      <w:pPr>
        <w:numPr>
          <w:ilvl w:val="0"/>
          <w:numId w:val="1003"/>
        </w:numPr>
        <w:pStyle w:val="Compact"/>
      </w:pPr>
      <w:r>
        <w:t xml:space="preserve">The reference price source and dispute mechanics for the confirmation.</w:t>
      </w:r>
    </w:p>
    <w:p>
      <w:pPr>
        <w:numPr>
          <w:ilvl w:val="0"/>
          <w:numId w:val="1003"/>
        </w:numPr>
        <w:pStyle w:val="Compact"/>
      </w:pPr>
      <w:r>
        <w:t xml:space="preserve">Your name limit for GoodRx-specific spread risk and the notional cap that follows from it.</w:t>
      </w:r>
    </w:p>
    <w:bookmarkEnd w:id="57"/>
    <w:bookmarkStart w:id="58" w:name="one-paragraph-summary"/>
    <w:p>
      <w:pPr>
        <w:pStyle w:val="Heading2"/>
      </w:pPr>
      <w:r>
        <w:t xml:space="preserve">13.6 One-Paragraph Summary</w:t>
      </w:r>
    </w:p>
    <w:p>
      <w:pPr>
        <w:pStyle w:val="FirstParagraph"/>
      </w:pPr>
      <w:r>
        <w:t xml:space="preserve">Facing the client on this synthetic short makes you the Total Return Receiver and therefore economically long the GoodRx loan, gaining if it richens or is taken out at par and losing if it widens, which is the exact mirror of the client. The defining difficulty is that you cannot hedge a synthetic long by shorting the cash loan, because loans cannot be borrowed or shorted, and buying the cash loan only doubles the exposure, so your realistic tools are a matched book against a natural long, a proxy hedge on the beta with residual basis, or warehousing the idiosyncratic long within limits. Your durable revenue is the financing spread of roughly 100 to 200 basis points plus unwind and roll bid-offer, while the loan’s 375 spread is risk compensation rather than fee and should never be booked as riskless margin. The trade consumes counterparty capital, market-risk capital on any warehoused leg, and leverage-ratio balance sheet, so you price the financing spread as a waterfall of hedge cost plus capital plus funding plus a scarcity-adjusted margin and trade only if it clears your return hurdle, cutting size or passing if you cannot hedge or the client will not pay. Above all, because the house is administrative agent and was an arranger on this loan, the trade is gated at the front by the information barrier, and the desk must be clear with compliance and operating on public-side information before any risk is committed.</w:t>
      </w:r>
    </w:p>
    <w:p>
      <w:r>
        <w:pict>
          <v:rect style="width:0;height:1.5pt" o:hralign="center" o:hrstd="t" o:hr="t"/>
        </w:pict>
      </w:r>
    </w:p>
    <w:p>
      <w:pPr>
        <w:pStyle w:val="FirstParagraph"/>
      </w:pPr>
      <w:r>
        <w:rPr>
          <w:iCs/>
          <w:i/>
        </w:rPr>
        <w:t xml:space="preserve">End of note. Position, revenue, capital, and pricing figures are indicative and must be struck live with the desk, treasury, and compliance. The client-side construction is documented in the companion synthetic short note.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GoodRx (GDRX) Term Loan TRS ��� The Dealer's Seat</dc:title>
  <dc:creator/>
  <cp:keywords/>
  <dcterms:created xsi:type="dcterms:W3CDTF">2026-07-13T12:07:34Z</dcterms:created>
  <dcterms:modified xsi:type="dcterms:W3CDTF">2026-07-13T12:07:34Z</dcterms:modified>
</cp:coreProperties>
</file>

<file path=docProps/custom.xml><?xml version="1.0" encoding="utf-8"?>
<Properties xmlns="http://schemas.openxmlformats.org/officeDocument/2006/custom-properties" xmlns:vt="http://schemas.openxmlformats.org/officeDocument/2006/docPropsVTypes"/>
</file>