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GoodRx (GDRX) Term Loan TRS ��� The Dealer as Payer: Getting Short Through a Client's Long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2" w:name="Xa8230d966168ba8c98fd510d726d71e4f533121"/>
    <w:p>
      <w:pPr>
        <w:pStyle w:val="Heading1"/>
      </w:pPr>
      <w:r>
        <w:t xml:space="preserve">GoodRx (GDRX) First Lien Term Loan TRS — The Dealer as Payer</w:t>
      </w:r>
    </w:p>
    <w:bookmarkStart w:id="20" w:name="Xf4992dbaff3930916e5597a804152248e215a5e"/>
    <w:p>
      <w:pPr>
        <w:pStyle w:val="Heading2"/>
      </w:pPr>
      <w:r>
        <w:t xml:space="preserve">Getting Short Through a Client’s Long: Structure, Carry, Contingency, and the Volcker Gate</w:t>
      </w:r>
    </w:p>
    <w:p>
      <w:pPr>
        <w:pStyle w:val="FirstParagraph"/>
      </w:pPr>
      <w:r>
        <w:rPr>
          <w:bCs/>
          <w:b/>
        </w:rPr>
        <w:t xml:space="preserve">Prepared for the desk taking the payer leg of a client-long TRS.</w:t>
      </w:r>
      <w:r>
        <w:t xml:space="preserve"> </w:t>
      </w:r>
      <w:r>
        <w:t xml:space="preserve">In this configuration the client wants leveraged long exposure to the GoodRx 2024 Term Loan and is the Total Return Receiver. You are the Total Return Payer. If you choose not to hold the physical loan as a hedge, the payer leg leaves you short. This note details that short in full, its carry, where it comes from, why it is contingent, how it is used legitimately, and the compliance conditions that gate it. All marks, financing spreads, funding rates, and capital charges are indicative and must be struck live. The prop-trading and conflicts questions in Sections 9 and 10 are gating determinations for legal and compliance, not desk conclusions. Data current through July 13, 2026.</w:t>
      </w:r>
    </w:p>
    <w:p>
      <w:r>
        <w:pict>
          <v:rect style="width:0;height:1.5pt" o:hralign="center" o:hrstd="t" o:hr="t"/>
        </w:pict>
      </w:r>
    </w:p>
    <w:bookmarkEnd w:id="20"/>
    <w:bookmarkStart w:id="21" w:name="your-position-summary-box"/>
    <w:p>
      <w:pPr>
        <w:pStyle w:val="Heading2"/>
      </w:pPr>
      <w:r>
        <w:t xml:space="preserve">YOUR POSITION (Summary Box)</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Your seat</w:t>
            </w:r>
          </w:p>
        </w:tc>
      </w:tr>
      <w:tr>
        <w:tc>
          <w:tcPr/>
          <w:p>
            <w:pPr>
              <w:pStyle w:val="Compact"/>
              <w:jc w:val="left"/>
            </w:pPr>
            <w:r>
              <w:rPr>
                <w:bCs/>
                <w:b/>
              </w:rPr>
              <w:t xml:space="preserve">Your role</w:t>
            </w:r>
          </w:p>
        </w:tc>
        <w:tc>
          <w:tcPr/>
          <w:p>
            <w:pPr>
              <w:pStyle w:val="Compact"/>
              <w:jc w:val="left"/>
            </w:pPr>
            <w:r>
              <w:t xml:space="preserve">Total Return Payer. You pay the loan’s total return to the client and receive the financing leg.</w:t>
            </w:r>
          </w:p>
        </w:tc>
      </w:tr>
      <w:tr>
        <w:tc>
          <w:tcPr/>
          <w:p>
            <w:pPr>
              <w:pStyle w:val="Compact"/>
              <w:jc w:val="left"/>
            </w:pPr>
            <w:r>
              <w:rPr>
                <w:bCs/>
                <w:b/>
              </w:rPr>
              <w:t xml:space="preserve">Your economic position (unhedged)</w:t>
            </w:r>
          </w:p>
        </w:tc>
        <w:tc>
          <w:tcPr/>
          <w:p>
            <w:pPr>
              <w:pStyle w:val="Compact"/>
              <w:jc w:val="left"/>
            </w:pPr>
            <w:r>
              <w:rPr>
                <w:bCs/>
                <w:b/>
              </w:rPr>
              <w:t xml:space="preserve">Short</w:t>
            </w:r>
            <w:r>
              <w:t xml:space="preserve"> </w:t>
            </w:r>
            <w:r>
              <w:t xml:space="preserve">the loan on the swap. You gain if it cheapens or widens, you lose if it richens or is taken out at par.</w:t>
            </w:r>
          </w:p>
        </w:tc>
      </w:tr>
      <w:tr>
        <w:tc>
          <w:tcPr/>
          <w:p>
            <w:pPr>
              <w:pStyle w:val="Compact"/>
              <w:jc w:val="left"/>
            </w:pPr>
            <w:r>
              <w:rPr>
                <w:bCs/>
                <w:b/>
              </w:rPr>
              <w:t xml:space="preserve">Where the short comes from</w:t>
            </w:r>
          </w:p>
        </w:tc>
        <w:tc>
          <w:tcPr/>
          <w:p>
            <w:pPr>
              <w:pStyle w:val="Compact"/>
              <w:jc w:val="left"/>
            </w:pPr>
            <w:r>
              <w:t xml:space="preserve">The client’s long. You cannot short or borrow the cash loan, so a client who wants to be long is what lets you be short. Your short is created by their long.</w:t>
            </w:r>
          </w:p>
        </w:tc>
      </w:tr>
      <w:tr>
        <w:tc>
          <w:tcPr/>
          <w:p>
            <w:pPr>
              <w:pStyle w:val="Compact"/>
              <w:jc w:val="left"/>
            </w:pPr>
            <w:r>
              <w:rPr>
                <w:bCs/>
                <w:b/>
              </w:rPr>
              <w:t xml:space="preserve">The carry advantage</w:t>
            </w:r>
          </w:p>
        </w:tc>
        <w:tc>
          <w:tcPr/>
          <w:p>
            <w:pPr>
              <w:pStyle w:val="Compact"/>
              <w:jc w:val="left"/>
            </w:pPr>
            <w:r>
              <w:t xml:space="preserve">Net carry roughly</w:t>
            </w:r>
            <w:r>
              <w:t xml:space="preserve"> </w:t>
            </w:r>
            <w:r>
              <w:rPr>
                <w:bCs/>
                <w:b/>
              </w:rPr>
              <w:t xml:space="preserve">negative 2.25% per year</w:t>
            </w:r>
            <w:r>
              <w:t xml:space="preserve">, versus about negative 5% for a standalone synthetic short. The long client pays you financing, which subsidizes your short.</w:t>
            </w:r>
          </w:p>
        </w:tc>
      </w:tr>
      <w:tr>
        <w:tc>
          <w:tcPr/>
          <w:p>
            <w:pPr>
              <w:pStyle w:val="Compact"/>
              <w:jc w:val="left"/>
            </w:pPr>
            <w:r>
              <w:rPr>
                <w:bCs/>
                <w:b/>
              </w:rPr>
              <w:t xml:space="preserve">Carry math</w:t>
            </w:r>
          </w:p>
        </w:tc>
        <w:tc>
          <w:tcPr/>
          <w:p>
            <w:pPr>
              <w:pStyle w:val="Compact"/>
              <w:jc w:val="left"/>
            </w:pPr>
            <w:r>
              <w:t xml:space="preserve">You pay the loan’s SOFR + 3.75% and receive financing of SOFR + a spread (say +150). SOFR legs cancel, leaving roughly negative 225 bps.</w:t>
            </w:r>
          </w:p>
        </w:tc>
      </w:tr>
      <w:tr>
        <w:tc>
          <w:tcPr/>
          <w:p>
            <w:pPr>
              <w:pStyle w:val="Compact"/>
              <w:jc w:val="left"/>
            </w:pPr>
            <w:r>
              <w:rPr>
                <w:bCs/>
                <w:b/>
              </w:rPr>
              <w:t xml:space="preserve">The catch</w:t>
            </w:r>
          </w:p>
        </w:tc>
        <w:tc>
          <w:tcPr/>
          <w:p>
            <w:pPr>
              <w:pStyle w:val="Compact"/>
              <w:jc w:val="left"/>
            </w:pPr>
            <w:r>
              <w:t xml:space="preserve">Contingent and transient. The short exists only while the client’s long exists. If the client unwinds, your short vanishes unless you re-face another long. You cannot hold it independently.</w:t>
            </w:r>
          </w:p>
        </w:tc>
      </w:tr>
      <w:tr>
        <w:tc>
          <w:tcPr/>
          <w:p>
            <w:pPr>
              <w:pStyle w:val="Compact"/>
              <w:jc w:val="left"/>
            </w:pPr>
            <w:r>
              <w:rPr>
                <w:bCs/>
                <w:b/>
              </w:rPr>
              <w:t xml:space="preserve">Legitimate uses</w:t>
            </w:r>
          </w:p>
        </w:tc>
        <w:tc>
          <w:tcPr/>
          <w:p>
            <w:pPr>
              <w:pStyle w:val="Compact"/>
              <w:jc w:val="left"/>
            </w:pPr>
            <w:r>
              <w:t xml:space="preserve">Market-making client-long demand, reducing or hedging an existing long inventory synthetically, or an opportunistic short expression within permissions.</w:t>
            </w:r>
          </w:p>
        </w:tc>
      </w:tr>
      <w:tr>
        <w:tc>
          <w:tcPr/>
          <w:p>
            <w:pPr>
              <w:pStyle w:val="Compact"/>
              <w:jc w:val="left"/>
            </w:pPr>
            <w:r>
              <w:rPr>
                <w:bCs/>
                <w:b/>
              </w:rPr>
              <w:t xml:space="preserve">The gate</w:t>
            </w:r>
          </w:p>
        </w:tc>
        <w:tc>
          <w:tcPr/>
          <w:p>
            <w:pPr>
              <w:pStyle w:val="Compact"/>
              <w:jc w:val="left"/>
            </w:pPr>
            <w:r>
              <w:t xml:space="preserve">Volcker. A naked directional short held as a view looks like proprietary trading. It must fit a market-making or risk-mitigating hedging exemption, sized to client demand, confirmed by compliance.</w:t>
            </w:r>
          </w:p>
        </w:tc>
      </w:tr>
      <w:tr>
        <w:tc>
          <w:tcPr/>
          <w:p>
            <w:pPr>
              <w:pStyle w:val="Compact"/>
              <w:jc w:val="left"/>
            </w:pPr>
            <w:r>
              <w:rPr>
                <w:bCs/>
                <w:b/>
              </w:rPr>
              <w:t xml:space="preserve">Second gate</w:t>
            </w:r>
          </w:p>
        </w:tc>
        <w:tc>
          <w:tcPr/>
          <w:p>
            <w:pPr>
              <w:pStyle w:val="Compact"/>
              <w:jc w:val="left"/>
            </w:pPr>
            <w:r>
              <w:t xml:space="preserve">Information barrier. The house is administrative agent and was an arranger on this loan, so the desk must trade on the public side.</w:t>
            </w:r>
          </w:p>
        </w:tc>
      </w:tr>
      <w:tr>
        <w:tc>
          <w:tcPr/>
          <w:p>
            <w:pPr>
              <w:pStyle w:val="Compact"/>
              <w:jc w:val="left"/>
            </w:pPr>
            <w:r>
              <w:rPr>
                <w:bCs/>
                <w:b/>
              </w:rPr>
              <w:t xml:space="preserve">Counterparty risk</w:t>
            </w:r>
          </w:p>
        </w:tc>
        <w:tc>
          <w:tcPr/>
          <w:p>
            <w:pPr>
              <w:pStyle w:val="Compact"/>
              <w:jc w:val="left"/>
            </w:pPr>
            <w:r>
              <w:t xml:space="preserve">Runs to the long client and bites when the loan falls, since the client’s long is then losing and owes you. Covered by the Independent Amount and daily variation margin.</w:t>
            </w:r>
          </w:p>
        </w:tc>
      </w:tr>
      <w:tr>
        <w:tc>
          <w:tcPr/>
          <w:p>
            <w:pPr>
              <w:pStyle w:val="Compact"/>
              <w:jc w:val="left"/>
            </w:pPr>
            <w:r>
              <w:rPr>
                <w:bCs/>
                <w:b/>
              </w:rPr>
              <w:t xml:space="preserve">Best framing</w:t>
            </w:r>
          </w:p>
        </w:tc>
        <w:tc>
          <w:tcPr/>
          <w:p>
            <w:pPr>
              <w:pStyle w:val="Compact"/>
              <w:jc w:val="left"/>
            </w:pPr>
            <w:r>
              <w:t xml:space="preserve">Not a naked house short. A hedge of inventory or a market-making residual, sized to demand, that happens to leave you short cheaply.</w:t>
            </w:r>
          </w:p>
        </w:tc>
      </w:tr>
    </w:tbl>
    <w:p>
      <w:pPr>
        <w:pStyle w:val="BodyText"/>
      </w:pPr>
      <w:r>
        <w:t xml:space="preserve">The carry comparison, scenario P&amp;L, and the two gating conditions are developed in Sections 3, 6, 9, and 10.</w:t>
      </w:r>
    </w:p>
    <w:p>
      <w:r>
        <w:pict>
          <v:rect style="width:0;height:1.5pt" o:hralign="center" o:hrstd="t" o:hr="t"/>
        </w:pict>
      </w:r>
    </w:p>
    <w:bookmarkEnd w:id="21"/>
    <w:bookmarkEnd w:id="22"/>
    <w:bookmarkStart w:id="26" w:name="executive-summary"/>
    <w:p>
      <w:pPr>
        <w:pStyle w:val="Heading1"/>
      </w:pPr>
      <w:r>
        <w:t xml:space="preserve">1. Executive Summary</w:t>
      </w:r>
    </w:p>
    <w:bookmarkStart w:id="23" w:name="what-you-are"/>
    <w:p>
      <w:pPr>
        <w:pStyle w:val="Heading2"/>
      </w:pPr>
      <w:r>
        <w:t xml:space="preserve">1.1 What You Are</w:t>
      </w:r>
    </w:p>
    <w:p>
      <w:pPr>
        <w:pStyle w:val="FirstParagraph"/>
      </w:pPr>
      <w:r>
        <w:t xml:space="preserve">When a client wants to be long the loan through a total return swap, the client is the Total Return Receiver and you are the Total Return Payer. You pay the client the loan’s total return, being its coupon and any appreciation, and you receive a financing leg. If you do not hold the physical loan against this, paying the total return leaves you economically short. You gain when the loan cheapens or widens and you lose when it richens or is repaid at par above your entry mark. On the swap alone, before any hedge, you hold the same directional short view as the fundamental short thesis on GoodRx.</w:t>
      </w:r>
    </w:p>
    <w:p>
      <w:pPr>
        <w:pStyle w:val="BodyText"/>
      </w:pPr>
      <w:r>
        <w:t xml:space="preserve">The defining feature is that this short is manufactured by the client’s long. You cannot short a cash loan and you cannot borrow one, so you have no independent way to get short. A client who wants leveraged long exposure is precisely what creates the offsetting short on your book if you decline to hedge it. Your short is the by-product of their long, which makes it both cheaper than a standalone synthetic short and less durable, because it lives only as long as the client’s position does.</w:t>
      </w:r>
    </w:p>
    <w:bookmarkEnd w:id="23"/>
    <w:bookmarkStart w:id="24" w:name="why-it-is-attractive"/>
    <w:p>
      <w:pPr>
        <w:pStyle w:val="Heading2"/>
      </w:pPr>
      <w:r>
        <w:t xml:space="preserve">1.2 Why It Is Attractive</w:t>
      </w:r>
    </w:p>
    <w:p>
      <w:pPr>
        <w:pStyle w:val="FirstParagraph"/>
      </w:pPr>
      <w:r>
        <w:t xml:space="preserve">The carry is far better than any other way you could get short this loan. A standalone synthetic short bleeds roughly 5% a year, because there you pay the loan spread and also pay a financing charge. Here you pay the loan spread but receive financing from the long client, so the net carry is roughly the loan spread minus the financing spread, on the order of negative 2.25% a year. The long client is subsidizing your short. For the same directional view, your holding cost is roughly halved, which materially improves the payoff and turns a slow grind wider from a losing trade into a roughly breakeven one.</w:t>
      </w:r>
    </w:p>
    <w:bookmarkEnd w:id="24"/>
    <w:bookmarkStart w:id="25" w:name="why-it-is-not-simple"/>
    <w:p>
      <w:pPr>
        <w:pStyle w:val="Heading2"/>
      </w:pPr>
      <w:r>
        <w:t xml:space="preserve">1.3 Why It Is Not Simple</w:t>
      </w:r>
    </w:p>
    <w:p>
      <w:pPr>
        <w:pStyle w:val="FirstParagraph"/>
      </w:pPr>
      <w:r>
        <w:t xml:space="preserve">Three things complicate it. First, it is contingent. If the client unwinds the long, your short disappears, so you cannot rely on it as a persistent position and you carry roll and replacement risk on the client leg. Second, it is a warehoused directional position if you leave it unhedged, which consumes name limits and market-risk capital and is a genuine bet rather than a fee. Third, and most important, it is gated by the prop-trading rules. A naked directional short dressed as a client-facilitation trade is exactly what those rules scrutinize, so the position has to sit inside a market-making or hedging permission, sized to client demand, and it has to clear the information barrier because the house agents this loan. The honest version of this pitch is not a naked house short. It is a market-making residual or an inventory hedge that leaves you short cheaply, cleared by compliance.</w:t>
      </w:r>
    </w:p>
    <w:p>
      <w:r>
        <w:pict>
          <v:rect style="width:0;height:1.5pt" o:hralign="center" o:hrstd="t" o:hr="t"/>
        </w:pict>
      </w:r>
    </w:p>
    <w:bookmarkEnd w:id="25"/>
    <w:bookmarkEnd w:id="26"/>
    <w:bookmarkStart w:id="30" w:name="your-seat-mechanically"/>
    <w:p>
      <w:pPr>
        <w:pStyle w:val="Heading1"/>
      </w:pPr>
      <w:r>
        <w:t xml:space="preserve">2. Your Seat, Mechanically</w:t>
      </w:r>
    </w:p>
    <w:bookmarkStart w:id="27" w:name="the-legs-from-your-side"/>
    <w:p>
      <w:pPr>
        <w:pStyle w:val="Heading2"/>
      </w:pPr>
      <w:r>
        <w:t xml:space="preserve">2.1 The Legs From Your Side</w:t>
      </w:r>
    </w:p>
    <w:p>
      <w:pPr>
        <w:pStyle w:val="FirstParagraph"/>
      </w:pPr>
      <w:r>
        <w:t xml:space="preserve">On each reset you pay the client the loan’s total return, which is its coupon of Term SOFR plus 3.75% together with any increase in the loan’s price, and you receive from the client any decrease in the price. You receive the financing leg, structured as Term SOFR plus a financing spread, because a long client pays financing to fund its leveraged exposure. Netting the SOFR terms, your running position before price is that you pay 3.75% and receive the financing spread, so you pay away the difference. On price, you gain when the loan falls and lose when it rises. That is a short.</w:t>
      </w:r>
    </w:p>
    <w:bookmarkEnd w:id="27"/>
    <w:bookmarkStart w:id="28" w:name="the-clients-long-creates-your-short"/>
    <w:p>
      <w:pPr>
        <w:pStyle w:val="Heading2"/>
      </w:pPr>
      <w:r>
        <w:t xml:space="preserve">2.2 The Client’s Long Creates Your Short</w:t>
      </w:r>
    </w:p>
    <w:p>
      <w:pPr>
        <w:pStyle w:val="FirstParagraph"/>
      </w:pPr>
      <w:r>
        <w:t xml:space="preserve">The important causal point is that you did not go and find a short. You provided a client the long exposure it wanted, and taking the other side of that made you short. You cannot manufacture this short on your own, because the cash loan cannot be shorted or borrowed. So the availability of this short is entirely a function of client demand to be long. When long demand is present you can be short cheaply. When it is absent you cannot get short at all through this route. This dependence is the single most important structural fact of the trade and it runs through the carry, the contingency, and the compliance treatment.</w:t>
      </w:r>
    </w:p>
    <w:bookmarkEnd w:id="28"/>
    <w:bookmarkStart w:id="29" w:name="the-contrast-with-the-other-dealer-seat"/>
    <w:p>
      <w:pPr>
        <w:pStyle w:val="Heading2"/>
      </w:pPr>
      <w:r>
        <w:t xml:space="preserve">2.3 The Contrast With the Other Dealer Seat</w:t>
      </w:r>
    </w:p>
    <w:p>
      <w:pPr>
        <w:pStyle w:val="FirstParagraph"/>
      </w:pPr>
      <w:r>
        <w:t xml:space="preserve">In the companion dealer note the client was short and you were the Total Return Receiver, which made you synthetically long a loan you could not cash-hedge, the hard and capacity-constrained direction. Here the client is long and you are the payer, which makes you short, and this is the easy-to-source direction because the client’s long is doing the work that a cash short never could. The two seats are mirror images, and the asymmetry between them, easy to face client longs, hard to face client shorts, is why long-side loan TRS is routine and short-side is scarce.</w:t>
      </w:r>
    </w:p>
    <w:p>
      <w:r>
        <w:pict>
          <v:rect style="width:0;height:1.5pt" o:hralign="center" o:hrstd="t" o:hr="t"/>
        </w:pict>
      </w:r>
    </w:p>
    <w:bookmarkEnd w:id="29"/>
    <w:bookmarkEnd w:id="30"/>
    <w:bookmarkStart w:id="35" w:name="the-carry-advantage"/>
    <w:p>
      <w:pPr>
        <w:pStyle w:val="Heading1"/>
      </w:pPr>
      <w:r>
        <w:t xml:space="preserve">3. The Carry Advantage</w:t>
      </w:r>
    </w:p>
    <w:bookmarkStart w:id="31" w:name="the-core-number"/>
    <w:p>
      <w:pPr>
        <w:pStyle w:val="Heading2"/>
      </w:pPr>
      <w:r>
        <w:t xml:space="preserve">3.1 The Core Number</w:t>
      </w:r>
    </w:p>
    <w:p>
      <w:pPr>
        <w:pStyle w:val="FirstParagraph"/>
      </w:pPr>
      <w:r>
        <w:t xml:space="preserve">Your net carry as the unhedged short is the loan spread minus the financing spread you receive. You pay the loan coupon of Term SOFR plus 3.75% and you receive financing of Term SOFR plus a spread, illustratively 150 basis points. The SOFR terms cancel, leaving you paying 3.75% and receiving 1.50%, a net cost of roughly 225 basis points, or negative 2.25% per year. This is your carry before the price move.</w:t>
      </w:r>
    </w:p>
    <w:bookmarkEnd w:id="31"/>
    <w:bookmarkStart w:id="32" w:name="why-it-beats-the-standalone-short"/>
    <w:p>
      <w:pPr>
        <w:pStyle w:val="Heading2"/>
      </w:pPr>
      <w:r>
        <w:t xml:space="preserve">3.2 Why It Beats the Standalone Short</w:t>
      </w:r>
    </w:p>
    <w:p>
      <w:pPr>
        <w:pStyle w:val="FirstParagraph"/>
      </w:pPr>
      <w:r>
        <w:t xml:space="preserve">A standalone synthetic short, where you are the client paying to be short, costs roughly negative 5% a year, because there the short pays the loan spread of 375 and also pays a financing spread to the dealer, so the two add. Here the signs flip on the financing leg. You are the dealer receiving the financing spread rather than paying it, so instead of paying 375 plus a financing spread you pay 375 minus a financing spread. The swing between paying and receiving the financing spread, which is close to the full bid-offer, is what takes the carry from about negative 5% to about negative 2.25%. The long client’s financing payment is the subsidy.</w:t>
      </w:r>
    </w:p>
    <w:bookmarkEnd w:id="32"/>
    <w:bookmarkStart w:id="33" w:name="why-cheaper-carry-changes-the-trade"/>
    <w:p>
      <w:pPr>
        <w:pStyle w:val="Heading2"/>
      </w:pPr>
      <w:r>
        <w:t xml:space="preserve">3.3 Why Cheaper Carry Changes the Trade</w:t>
      </w:r>
    </w:p>
    <w:p>
      <w:pPr>
        <w:pStyle w:val="FirstParagraph"/>
      </w:pPr>
      <w:r>
        <w:t xml:space="preserve">Carry is the enemy of a money-good loan short, because the loan will not fall far and every month of holding costs premium. Halving the carry roughly halves the price move you need to break even and turns several losing scenarios into winners. A slow grind wider that loses money at negative 5% carry is roughly breakeven at negative 2.25%. A sideways loan that bleeds 5% a year now bleeds only 2.25%. The cheaper carry does not change the direction of the view, it changes the odds of the view paying, which is why this is the most efficient way for you to hold this particular short.</w:t>
      </w:r>
    </w:p>
    <w:bookmarkEnd w:id="33"/>
    <w:bookmarkStart w:id="34" w:name="carry-sensitivity"/>
    <w:p>
      <w:pPr>
        <w:pStyle w:val="Heading2"/>
      </w:pPr>
      <w:r>
        <w:t xml:space="preserve">3.4 Carry Sensitivity</w:t>
      </w:r>
    </w:p>
    <w:p>
      <w:pPr>
        <w:pStyle w:val="FirstParagraph"/>
      </w:pPr>
      <w:r>
        <w:t xml:space="preserve">The net carry depends on the financing spread you receive from the long client, which depends on the name, the client, and the market. The table shows the sensitivity.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Financing spread received</w:t>
            </w:r>
          </w:p>
        </w:tc>
        <w:tc>
          <w:tcPr/>
          <w:p>
            <w:pPr>
              <w:pStyle w:val="Compact"/>
              <w:jc w:val="left"/>
            </w:pPr>
            <w:r>
              <w:t xml:space="preserve">Net carry per year</w:t>
            </w:r>
          </w:p>
        </w:tc>
        <w:tc>
          <w:tcPr/>
          <w:p>
            <w:pPr>
              <w:pStyle w:val="Compact"/>
              <w:jc w:val="left"/>
            </w:pPr>
            <w:r>
              <w:t xml:space="preserve">Versus standalone short (~-5%)</w:t>
            </w:r>
          </w:p>
        </w:tc>
      </w:tr>
      <w:tr>
        <w:tc>
          <w:tcPr/>
          <w:p>
            <w:pPr>
              <w:pStyle w:val="Compact"/>
              <w:jc w:val="left"/>
            </w:pPr>
            <w:r>
              <w:t xml:space="preserve">+100 bps</w:t>
            </w:r>
          </w:p>
        </w:tc>
        <w:tc>
          <w:tcPr/>
          <w:p>
            <w:pPr>
              <w:pStyle w:val="Compact"/>
              <w:jc w:val="left"/>
            </w:pPr>
            <w:r>
              <w:t xml:space="preserve">~-2.75%</w:t>
            </w:r>
          </w:p>
        </w:tc>
        <w:tc>
          <w:tcPr/>
          <w:p>
            <w:pPr>
              <w:pStyle w:val="Compact"/>
              <w:jc w:val="left"/>
            </w:pPr>
            <w:r>
              <w:t xml:space="preserve">~2.25% cheaper</w:t>
            </w:r>
          </w:p>
        </w:tc>
      </w:tr>
      <w:tr>
        <w:tc>
          <w:tcPr/>
          <w:p>
            <w:pPr>
              <w:pStyle w:val="Compact"/>
              <w:jc w:val="left"/>
            </w:pPr>
            <w:r>
              <w:t xml:space="preserve">+150 bps</w:t>
            </w:r>
          </w:p>
        </w:tc>
        <w:tc>
          <w:tcPr/>
          <w:p>
            <w:pPr>
              <w:pStyle w:val="Compact"/>
              <w:jc w:val="left"/>
            </w:pPr>
            <w:r>
              <w:t xml:space="preserve">~-2.25%</w:t>
            </w:r>
          </w:p>
        </w:tc>
        <w:tc>
          <w:tcPr/>
          <w:p>
            <w:pPr>
              <w:pStyle w:val="Compact"/>
              <w:jc w:val="left"/>
            </w:pPr>
            <w:r>
              <w:t xml:space="preserve">~2.75% cheaper</w:t>
            </w:r>
          </w:p>
        </w:tc>
      </w:tr>
      <w:tr>
        <w:tc>
          <w:tcPr/>
          <w:p>
            <w:pPr>
              <w:pStyle w:val="Compact"/>
              <w:jc w:val="left"/>
            </w:pPr>
            <w:r>
              <w:t xml:space="preserve">+200 bps</w:t>
            </w:r>
          </w:p>
        </w:tc>
        <w:tc>
          <w:tcPr/>
          <w:p>
            <w:pPr>
              <w:pStyle w:val="Compact"/>
              <w:jc w:val="left"/>
            </w:pPr>
            <w:r>
              <w:t xml:space="preserve">~-1.75%</w:t>
            </w:r>
          </w:p>
        </w:tc>
        <w:tc>
          <w:tcPr/>
          <w:p>
            <w:pPr>
              <w:pStyle w:val="Compact"/>
              <w:jc w:val="left"/>
            </w:pPr>
            <w:r>
              <w:t xml:space="preserve">~3.25% cheaper</w:t>
            </w:r>
          </w:p>
        </w:tc>
      </w:tr>
      <w:tr>
        <w:tc>
          <w:tcPr/>
          <w:p>
            <w:pPr>
              <w:pStyle w:val="Compact"/>
              <w:jc w:val="left"/>
            </w:pPr>
            <w:r>
              <w:t xml:space="preserve">+250 bps</w:t>
            </w:r>
          </w:p>
        </w:tc>
        <w:tc>
          <w:tcPr/>
          <w:p>
            <w:pPr>
              <w:pStyle w:val="Compact"/>
              <w:jc w:val="left"/>
            </w:pPr>
            <w:r>
              <w:t xml:space="preserve">~-1.25%</w:t>
            </w:r>
          </w:p>
        </w:tc>
        <w:tc>
          <w:tcPr/>
          <w:p>
            <w:pPr>
              <w:pStyle w:val="Compact"/>
              <w:jc w:val="left"/>
            </w:pPr>
            <w:r>
              <w:t xml:space="preserve">~3.75% cheaper</w:t>
            </w:r>
          </w:p>
        </w:tc>
      </w:tr>
    </w:tbl>
    <w:p>
      <w:pPr>
        <w:pStyle w:val="BodyText"/>
      </w:pPr>
      <w:r>
        <w:rPr>
          <w:iCs/>
          <w:i/>
        </w:rPr>
        <w:t xml:space="preserve">Net carry equals the loan spread of 375 bps minus the financing spread you receive, because the SOFR legs offset. A higher financing spread from the long client further subsidizes your short.</w:t>
      </w:r>
    </w:p>
    <w:p>
      <w:r>
        <w:pict>
          <v:rect style="width:0;height:1.5pt" o:hralign="center" o:hrstd="t" o:hr="t"/>
        </w:pict>
      </w:r>
    </w:p>
    <w:bookmarkEnd w:id="34"/>
    <w:bookmarkEnd w:id="35"/>
    <w:bookmarkStart w:id="39" w:name="Xea82d0ce3e133ca136737e42e5252ad6760022b"/>
    <w:p>
      <w:pPr>
        <w:pStyle w:val="Heading1"/>
      </w:pPr>
      <w:r>
        <w:t xml:space="preserve">4. Where the Short Comes From, and Why It Is Contingent</w:t>
      </w:r>
    </w:p>
    <w:bookmarkStart w:id="36" w:name="you-cannot-hold-it-independently"/>
    <w:p>
      <w:pPr>
        <w:pStyle w:val="Heading2"/>
      </w:pPr>
      <w:r>
        <w:t xml:space="preserve">4.1 You Cannot Hold It Independently</w:t>
      </w:r>
    </w:p>
    <w:p>
      <w:pPr>
        <w:pStyle w:val="FirstParagraph"/>
      </w:pPr>
      <w:r>
        <w:t xml:space="preserve">The short only exists because a client is long against you. You have no standalone way to hold it, because the cash loan cannot be shorted or borrowed. This is different from a bond short, which you could hold on your own book by borrowing and selling the bond. Your loan short is a derivative position whose existence is tied to the survival of the client’s long. When the client’s long is on, your short is on. When the client’s long is gone, your short is gone.</w:t>
      </w:r>
    </w:p>
    <w:bookmarkEnd w:id="36"/>
    <w:bookmarkStart w:id="37" w:name="the-unwind-problem"/>
    <w:p>
      <w:pPr>
        <w:pStyle w:val="Heading2"/>
      </w:pPr>
      <w:r>
        <w:t xml:space="preserve">4.2 The Unwind Problem</w:t>
      </w:r>
    </w:p>
    <w:p>
      <w:pPr>
        <w:pStyle w:val="FirstParagraph"/>
      </w:pPr>
      <w:r>
        <w:t xml:space="preserve">The practical consequence is roll and replacement risk on the client leg. Long clients trade around their own theses and will unwind when it suits them, not when it suits you. If the client unwinds and you wanted to keep the short, you must find another client who wants to be long and face them instead, which depends on demand you do not control. If no such client is available, the short simply comes off, whether or not you still wanted it. You cannot force the position to persist.</w:t>
      </w:r>
    </w:p>
    <w:bookmarkEnd w:id="37"/>
    <w:bookmarkStart w:id="38" w:name="the-implication-for-how-you-use-it"/>
    <w:p>
      <w:pPr>
        <w:pStyle w:val="Heading2"/>
      </w:pPr>
      <w:r>
        <w:t xml:space="preserve">4.3 The Implication For How You Use It</w:t>
      </w:r>
    </w:p>
    <w:p>
      <w:pPr>
        <w:pStyle w:val="FirstParagraph"/>
      </w:pPr>
      <w:r>
        <w:t xml:space="preserve">Because the short is contingent, you cannot treat it as a reliable, persistent expression of a directional view. It is opportunistic. It is available when long demand is available and it is priced by that demand. This pushes the sensible use of the position away from a naked, held directional bet, which its contingency makes unreliable anyway, and toward market-making and inventory-management uses where the transience is a feature rather than a bug. That framing also happens to be the one that clears the compliance gate, which is not a coincidence, because the rules are built around exactly this distinction.</w:t>
      </w:r>
    </w:p>
    <w:p>
      <w:r>
        <w:pict>
          <v:rect style="width:0;height:1.5pt" o:hralign="center" o:hrstd="t" o:hr="t"/>
        </w:pict>
      </w:r>
    </w:p>
    <w:bookmarkEnd w:id="38"/>
    <w:bookmarkEnd w:id="39"/>
    <w:bookmarkStart w:id="44" w:name="Xaf67c90106a7b94700dfe7d028b4894daa3536e"/>
    <w:p>
      <w:pPr>
        <w:pStyle w:val="Heading1"/>
      </w:pPr>
      <w:r>
        <w:t xml:space="preserve">5. Legitimate Uses: Why You Would Take This Short</w:t>
      </w:r>
    </w:p>
    <w:bookmarkStart w:id="40" w:name="market-making-the-client-long-flow"/>
    <w:p>
      <w:pPr>
        <w:pStyle w:val="Heading2"/>
      </w:pPr>
      <w:r>
        <w:t xml:space="preserve">5.1 Market-Making the Client-Long Flow</w:t>
      </w:r>
    </w:p>
    <w:p>
      <w:pPr>
        <w:pStyle w:val="FirstParagraph"/>
      </w:pPr>
      <w:r>
        <w:t xml:space="preserve">The first and most defensible use is ordinary market-making. Clients want long exposure to the loan through swaps, and you provide it as a service. In doing so you take the payer leg and become short, and you choose how much of that short to hedge and how much to warehouse within your market-making inventory. A residual short held as part of making two-way markets, sized to the reasonably expected near-term demand of your clients, is market-making inventory, not a naked bet. This is the cleanest home for the position.</w:t>
      </w:r>
    </w:p>
    <w:bookmarkEnd w:id="40"/>
    <w:bookmarkStart w:id="41" w:name="reducing-or-hedging-an-existing-long"/>
    <w:p>
      <w:pPr>
        <w:pStyle w:val="Heading2"/>
      </w:pPr>
      <w:r>
        <w:t xml:space="preserve">5.2 Reducing or Hedging an Existing Long</w:t>
      </w:r>
    </w:p>
    <w:p>
      <w:pPr>
        <w:pStyle w:val="FirstParagraph"/>
      </w:pPr>
      <w:r>
        <w:t xml:space="preserve">The second use is inventory management, and it is particularly relevant here because the house is in the name. If you are long the GoodRx loan in inventory, whether from the arranging group, from prior flow, or from other swaps, facing a client long and declining to buy more lets the payer leg offset your existing long. The swap short reduces your net long without your having to sell the cash loan into the market, which avoids price impact and preserves the position for relationship or agency reasons. Used this way, the short is a risk-reducing hedge of an identifiable existing exposure, which is both good risk management and the most straightforward to justify under the hedging exemption.</w:t>
      </w:r>
    </w:p>
    <w:bookmarkEnd w:id="41"/>
    <w:bookmarkStart w:id="42" w:name="opportunistic-short-expression"/>
    <w:p>
      <w:pPr>
        <w:pStyle w:val="Heading2"/>
      </w:pPr>
      <w:r>
        <w:t xml:space="preserve">5.3 Opportunistic Short Expression</w:t>
      </w:r>
    </w:p>
    <w:p>
      <w:pPr>
        <w:pStyle w:val="FirstParagraph"/>
      </w:pPr>
      <w:r>
        <w:t xml:space="preserve">The third use is the one to be most careful with. If you hold a directional view that the loan should widen, taking the payer leg of a client long is the cheapest available way to express it, at roughly negative 2.25% carry rather than negative 5%. This is real and it is efficient, but a short held purely to express a house view, with no market-making or hedging rationale, is the position most exposed to the prop-trading rules. It can still be legitimate if it sits within a permitted mandate and is documented and sized appropriately, but it cannot be booked as a naked directional bet dressed up as facilitation. The distinction is substance, not label, and it is compliance and legal who make the call.</w:t>
      </w:r>
    </w:p>
    <w:bookmarkEnd w:id="42"/>
    <w:bookmarkStart w:id="43" w:name="the-honest-framing"/>
    <w:p>
      <w:pPr>
        <w:pStyle w:val="Heading2"/>
      </w:pPr>
      <w:r>
        <w:t xml:space="preserve">5.4 The Honest Framing</w:t>
      </w:r>
    </w:p>
    <w:p>
      <w:pPr>
        <w:pStyle w:val="FirstParagraph"/>
      </w:pPr>
      <w:r>
        <w:t xml:space="preserve">The attractive, defensible version of this pitch is a market-making residual or an inventory hedge that leaves you short cheaply. The version that needs the most scrutiny is a naked directional short. In both, the mechanics and the carry are identical, so the difference lives entirely in the rationale, the mandate, the sizing, and the documentation. Getting that framing right at the outset is what makes the trade doable.</w:t>
      </w:r>
    </w:p>
    <w:p>
      <w:r>
        <w:pict>
          <v:rect style="width:0;height:1.5pt" o:hralign="center" o:hrstd="t" o:hr="t"/>
        </w:pict>
      </w:r>
    </w:p>
    <w:bookmarkEnd w:id="43"/>
    <w:bookmarkEnd w:id="44"/>
    <w:bookmarkStart w:id="45" w:name="scenario-pl"/>
    <w:p>
      <w:pPr>
        <w:pStyle w:val="Heading1"/>
      </w:pPr>
      <w:r>
        <w:t xml:space="preserve">6. Scenario P&amp;L</w:t>
      </w:r>
    </w:p>
    <w:p>
      <w:pPr>
        <w:pStyle w:val="FirstParagraph"/>
      </w:pPr>
      <w:r>
        <w:t xml:space="preserve">The table models the dealer short on the payer leg, unhedged, on a 15 million dollar notional with an entry reference price of 98.75 and net carry of negative 2.25% per year. Price P&amp;L to the short is positive when the loan falls. The final column contrasts the same path for a standalone synthetic short at negative 5% carry, to show the carry benefit.</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Scenario</w:t>
            </w:r>
          </w:p>
        </w:tc>
        <w:tc>
          <w:tcPr/>
          <w:p>
            <w:pPr>
              <w:pStyle w:val="Compact"/>
              <w:jc w:val="left"/>
            </w:pPr>
            <w:r>
              <w:t xml:space="preserve">Horizon</w:t>
            </w:r>
          </w:p>
        </w:tc>
        <w:tc>
          <w:tcPr/>
          <w:p>
            <w:pPr>
              <w:pStyle w:val="Compact"/>
              <w:jc w:val="left"/>
            </w:pPr>
            <w:r>
              <w:t xml:space="preserve">Loan path</w:t>
            </w:r>
          </w:p>
        </w:tc>
        <w:tc>
          <w:tcPr/>
          <w:p>
            <w:pPr>
              <w:pStyle w:val="Compact"/>
              <w:jc w:val="left"/>
            </w:pPr>
            <w:r>
              <w:t xml:space="preserve">Price P&amp;L</w:t>
            </w:r>
          </w:p>
        </w:tc>
        <w:tc>
          <w:tcPr/>
          <w:p>
            <w:pPr>
              <w:pStyle w:val="Compact"/>
              <w:jc w:val="left"/>
            </w:pPr>
            <w:r>
              <w:t xml:space="preserve">Carry (this trade)</w:t>
            </w:r>
          </w:p>
        </w:tc>
        <w:tc>
          <w:tcPr/>
          <w:p>
            <w:pPr>
              <w:pStyle w:val="Compact"/>
              <w:jc w:val="left"/>
            </w:pPr>
            <w:r>
              <w:t xml:space="preserve">Net P&amp;L</w:t>
            </w:r>
          </w:p>
        </w:tc>
        <w:tc>
          <w:tcPr/>
          <w:p>
            <w:pPr>
              <w:pStyle w:val="Compact"/>
              <w:jc w:val="left"/>
            </w:pPr>
            <w:r>
              <w:t xml:space="preserve">Net %</w:t>
            </w:r>
          </w:p>
        </w:tc>
        <w:tc>
          <w:tcPr/>
          <w:p>
            <w:pPr>
              <w:pStyle w:val="Compact"/>
              <w:jc w:val="left"/>
            </w:pPr>
            <w:r>
              <w:t xml:space="preserve">Standalone short net %</w:t>
            </w:r>
          </w:p>
        </w:tc>
      </w:tr>
      <w:tr>
        <w:tc>
          <w:tcPr/>
          <w:p>
            <w:pPr>
              <w:pStyle w:val="Compact"/>
              <w:jc w:val="left"/>
            </w:pPr>
            <w:r>
              <w:rPr>
                <w:bCs/>
                <w:b/>
              </w:rPr>
              <w:t xml:space="preserve">Catalyst gap wider</w:t>
            </w:r>
          </w:p>
        </w:tc>
        <w:tc>
          <w:tcPr/>
          <w:p>
            <w:pPr>
              <w:pStyle w:val="Compact"/>
              <w:jc w:val="left"/>
            </w:pPr>
            <w:r>
              <w:t xml:space="preserve">6 mo</w:t>
            </w:r>
          </w:p>
        </w:tc>
        <w:tc>
          <w:tcPr/>
          <w:p>
            <w:pPr>
              <w:pStyle w:val="Compact"/>
              <w:jc w:val="left"/>
            </w:pPr>
            <w:r>
              <w:t xml:space="preserve">98.75 → 91.0</w:t>
            </w:r>
          </w:p>
        </w:tc>
        <w:tc>
          <w:tcPr/>
          <w:p>
            <w:pPr>
              <w:pStyle w:val="Compact"/>
              <w:jc w:val="left"/>
            </w:pPr>
            <w:r>
              <w:t xml:space="preserve">+$1.163M</w:t>
            </w:r>
          </w:p>
        </w:tc>
        <w:tc>
          <w:tcPr/>
          <w:p>
            <w:pPr>
              <w:pStyle w:val="Compact"/>
              <w:jc w:val="left"/>
            </w:pPr>
            <w:r>
              <w:t xml:space="preserve">-$169k</w:t>
            </w:r>
          </w:p>
        </w:tc>
        <w:tc>
          <w:tcPr/>
          <w:p>
            <w:pPr>
              <w:pStyle w:val="Compact"/>
              <w:jc w:val="left"/>
            </w:pPr>
            <w:r>
              <w:rPr>
                <w:bCs/>
                <w:b/>
              </w:rPr>
              <w:t xml:space="preserve">+$994k</w:t>
            </w:r>
          </w:p>
        </w:tc>
        <w:tc>
          <w:tcPr/>
          <w:p>
            <w:pPr>
              <w:pStyle w:val="Compact"/>
              <w:jc w:val="left"/>
            </w:pPr>
            <w:r>
              <w:rPr>
                <w:bCs/>
                <w:b/>
              </w:rPr>
              <w:t xml:space="preserve">+6.6%</w:t>
            </w:r>
          </w:p>
        </w:tc>
        <w:tc>
          <w:tcPr/>
          <w:p>
            <w:pPr>
              <w:pStyle w:val="Compact"/>
              <w:jc w:val="left"/>
            </w:pPr>
            <w:r>
              <w:t xml:space="preserve">+5.3%</w:t>
            </w:r>
          </w:p>
        </w:tc>
      </w:tr>
      <w:tr>
        <w:tc>
          <w:tcPr/>
          <w:p>
            <w:pPr>
              <w:pStyle w:val="Compact"/>
              <w:jc w:val="left"/>
            </w:pPr>
            <w:r>
              <w:rPr>
                <w:bCs/>
                <w:b/>
              </w:rPr>
              <w:t xml:space="preserve">Severe widening</w:t>
            </w:r>
          </w:p>
        </w:tc>
        <w:tc>
          <w:tcPr/>
          <w:p>
            <w:pPr>
              <w:pStyle w:val="Compact"/>
              <w:jc w:val="left"/>
            </w:pPr>
            <w:r>
              <w:t xml:space="preserve">12 mo</w:t>
            </w:r>
          </w:p>
        </w:tc>
        <w:tc>
          <w:tcPr/>
          <w:p>
            <w:pPr>
              <w:pStyle w:val="Compact"/>
              <w:jc w:val="left"/>
            </w:pPr>
            <w:r>
              <w:t xml:space="preserve">98.75 → 85.0</w:t>
            </w:r>
          </w:p>
        </w:tc>
        <w:tc>
          <w:tcPr/>
          <w:p>
            <w:pPr>
              <w:pStyle w:val="Compact"/>
              <w:jc w:val="left"/>
            </w:pPr>
            <w:r>
              <w:t xml:space="preserve">+$2.063M</w:t>
            </w:r>
          </w:p>
        </w:tc>
        <w:tc>
          <w:tcPr/>
          <w:p>
            <w:pPr>
              <w:pStyle w:val="Compact"/>
              <w:jc w:val="left"/>
            </w:pPr>
            <w:r>
              <w:t xml:space="preserve">-$338k</w:t>
            </w:r>
          </w:p>
        </w:tc>
        <w:tc>
          <w:tcPr/>
          <w:p>
            <w:pPr>
              <w:pStyle w:val="Compact"/>
              <w:jc w:val="left"/>
            </w:pPr>
            <w:r>
              <w:rPr>
                <w:bCs/>
                <w:b/>
              </w:rPr>
              <w:t xml:space="preserve">+$1.725M</w:t>
            </w:r>
          </w:p>
        </w:tc>
        <w:tc>
          <w:tcPr/>
          <w:p>
            <w:pPr>
              <w:pStyle w:val="Compact"/>
              <w:jc w:val="left"/>
            </w:pPr>
            <w:r>
              <w:rPr>
                <w:bCs/>
                <w:b/>
              </w:rPr>
              <w:t xml:space="preserve">+11.5%</w:t>
            </w:r>
          </w:p>
        </w:tc>
        <w:tc>
          <w:tcPr/>
          <w:p>
            <w:pPr>
              <w:pStyle w:val="Compact"/>
              <w:jc w:val="left"/>
            </w:pPr>
            <w:r>
              <w:t xml:space="preserve">+8.8%</w:t>
            </w:r>
          </w:p>
        </w:tc>
      </w:tr>
      <w:tr>
        <w:tc>
          <w:tcPr/>
          <w:p>
            <w:pPr>
              <w:pStyle w:val="Compact"/>
              <w:jc w:val="left"/>
            </w:pPr>
            <w:r>
              <w:rPr>
                <w:bCs/>
                <w:b/>
              </w:rPr>
              <w:t xml:space="preserve">Base grind wider</w:t>
            </w:r>
          </w:p>
        </w:tc>
        <w:tc>
          <w:tcPr/>
          <w:p>
            <w:pPr>
              <w:pStyle w:val="Compact"/>
              <w:jc w:val="left"/>
            </w:pPr>
            <w:r>
              <w:t xml:space="preserve">18 mo</w:t>
            </w:r>
          </w:p>
        </w:tc>
        <w:tc>
          <w:tcPr/>
          <w:p>
            <w:pPr>
              <w:pStyle w:val="Compact"/>
              <w:jc w:val="left"/>
            </w:pPr>
            <w:r>
              <w:t xml:space="preserve">98.75 → 94.5</w:t>
            </w:r>
          </w:p>
        </w:tc>
        <w:tc>
          <w:tcPr/>
          <w:p>
            <w:pPr>
              <w:pStyle w:val="Compact"/>
              <w:jc w:val="left"/>
            </w:pPr>
            <w:r>
              <w:t xml:space="preserve">+$637k</w:t>
            </w:r>
          </w:p>
        </w:tc>
        <w:tc>
          <w:tcPr/>
          <w:p>
            <w:pPr>
              <w:pStyle w:val="Compact"/>
              <w:jc w:val="left"/>
            </w:pPr>
            <w:r>
              <w:t xml:space="preserve">-$506k</w:t>
            </w:r>
          </w:p>
        </w:tc>
        <w:tc>
          <w:tcPr/>
          <w:p>
            <w:pPr>
              <w:pStyle w:val="Compact"/>
              <w:jc w:val="left"/>
            </w:pPr>
            <w:r>
              <w:rPr>
                <w:bCs/>
                <w:b/>
              </w:rPr>
              <w:t xml:space="preserve">+$131k</w:t>
            </w:r>
          </w:p>
        </w:tc>
        <w:tc>
          <w:tcPr/>
          <w:p>
            <w:pPr>
              <w:pStyle w:val="Compact"/>
              <w:jc w:val="left"/>
            </w:pPr>
            <w:r>
              <w:rPr>
                <w:bCs/>
                <w:b/>
              </w:rPr>
              <w:t xml:space="preserve">+0.9%</w:t>
            </w:r>
          </w:p>
        </w:tc>
        <w:tc>
          <w:tcPr/>
          <w:p>
            <w:pPr>
              <w:pStyle w:val="Compact"/>
              <w:jc w:val="left"/>
            </w:pPr>
            <w:r>
              <w:t xml:space="preserve">-3.3%</w:t>
            </w:r>
          </w:p>
        </w:tc>
      </w:tr>
      <w:tr>
        <w:tc>
          <w:tcPr/>
          <w:p>
            <w:pPr>
              <w:pStyle w:val="Compact"/>
              <w:jc w:val="left"/>
            </w:pPr>
            <w:r>
              <w:rPr>
                <w:bCs/>
                <w:b/>
              </w:rPr>
              <w:t xml:space="preserve">Sideways</w:t>
            </w:r>
          </w:p>
        </w:tc>
        <w:tc>
          <w:tcPr/>
          <w:p>
            <w:pPr>
              <w:pStyle w:val="Compact"/>
              <w:jc w:val="left"/>
            </w:pPr>
            <w:r>
              <w:t xml:space="preserve">12 mo</w:t>
            </w:r>
          </w:p>
        </w:tc>
        <w:tc>
          <w:tcPr/>
          <w:p>
            <w:pPr>
              <w:pStyle w:val="Compact"/>
              <w:jc w:val="left"/>
            </w:pPr>
            <w:r>
              <w:t xml:space="preserve">98.75 → 98.75</w:t>
            </w:r>
          </w:p>
        </w:tc>
        <w:tc>
          <w:tcPr/>
          <w:p>
            <w:pPr>
              <w:pStyle w:val="Compact"/>
              <w:jc w:val="left"/>
            </w:pPr>
            <w:r>
              <w:t xml:space="preserve">$0</w:t>
            </w:r>
          </w:p>
        </w:tc>
        <w:tc>
          <w:tcPr/>
          <w:p>
            <w:pPr>
              <w:pStyle w:val="Compact"/>
              <w:jc w:val="left"/>
            </w:pPr>
            <w:r>
              <w:t xml:space="preserve">-$338k</w:t>
            </w:r>
          </w:p>
        </w:tc>
        <w:tc>
          <w:tcPr/>
          <w:p>
            <w:pPr>
              <w:pStyle w:val="Compact"/>
              <w:jc w:val="left"/>
            </w:pPr>
            <w:r>
              <w:rPr>
                <w:bCs/>
                <w:b/>
              </w:rPr>
              <w:t xml:space="preserve">-$338k</w:t>
            </w:r>
          </w:p>
        </w:tc>
        <w:tc>
          <w:tcPr/>
          <w:p>
            <w:pPr>
              <w:pStyle w:val="Compact"/>
              <w:jc w:val="left"/>
            </w:pPr>
            <w:r>
              <w:rPr>
                <w:bCs/>
                <w:b/>
              </w:rPr>
              <w:t xml:space="preserve">-2.25%</w:t>
            </w:r>
          </w:p>
        </w:tc>
        <w:tc>
          <w:tcPr/>
          <w:p>
            <w:pPr>
              <w:pStyle w:val="Compact"/>
              <w:jc w:val="left"/>
            </w:pPr>
            <w:r>
              <w:t xml:space="preserve">-5.0%</w:t>
            </w:r>
          </w:p>
        </w:tc>
      </w:tr>
      <w:tr>
        <w:tc>
          <w:tcPr/>
          <w:p>
            <w:pPr>
              <w:pStyle w:val="Compact"/>
              <w:jc w:val="left"/>
            </w:pPr>
            <w:r>
              <w:rPr>
                <w:bCs/>
                <w:b/>
              </w:rPr>
              <w:t xml:space="preserve">Par take-out (M&amp;A)</w:t>
            </w:r>
          </w:p>
        </w:tc>
        <w:tc>
          <w:tcPr/>
          <w:p>
            <w:pPr>
              <w:pStyle w:val="Compact"/>
              <w:jc w:val="left"/>
            </w:pPr>
            <w:r>
              <w:t xml:space="preserve">12 mo</w:t>
            </w:r>
          </w:p>
        </w:tc>
        <w:tc>
          <w:tcPr/>
          <w:p>
            <w:pPr>
              <w:pStyle w:val="Compact"/>
              <w:jc w:val="left"/>
            </w:pPr>
            <w:r>
              <w:t xml:space="preserve">98.75 → 100.0</w:t>
            </w:r>
          </w:p>
        </w:tc>
        <w:tc>
          <w:tcPr/>
          <w:p>
            <w:pPr>
              <w:pStyle w:val="Compact"/>
              <w:jc w:val="left"/>
            </w:pPr>
            <w:r>
              <w:t xml:space="preserve">-$188k</w:t>
            </w:r>
          </w:p>
        </w:tc>
        <w:tc>
          <w:tcPr/>
          <w:p>
            <w:pPr>
              <w:pStyle w:val="Compact"/>
              <w:jc w:val="left"/>
            </w:pPr>
            <w:r>
              <w:t xml:space="preserve">-$338k</w:t>
            </w:r>
          </w:p>
        </w:tc>
        <w:tc>
          <w:tcPr/>
          <w:p>
            <w:pPr>
              <w:pStyle w:val="Compact"/>
              <w:jc w:val="left"/>
            </w:pPr>
            <w:r>
              <w:rPr>
                <w:bCs/>
                <w:b/>
              </w:rPr>
              <w:t xml:space="preserve">-$525k</w:t>
            </w:r>
          </w:p>
        </w:tc>
        <w:tc>
          <w:tcPr/>
          <w:p>
            <w:pPr>
              <w:pStyle w:val="Compact"/>
              <w:jc w:val="left"/>
            </w:pPr>
            <w:r>
              <w:rPr>
                <w:bCs/>
                <w:b/>
              </w:rPr>
              <w:t xml:space="preserve">-3.5%</w:t>
            </w:r>
          </w:p>
        </w:tc>
        <w:tc>
          <w:tcPr/>
          <w:p>
            <w:pPr>
              <w:pStyle w:val="Compact"/>
              <w:jc w:val="left"/>
            </w:pPr>
            <w:r>
              <w:t xml:space="preserve">-6.3%</w:t>
            </w:r>
          </w:p>
        </w:tc>
      </w:tr>
    </w:tbl>
    <w:p>
      <w:pPr>
        <w:pStyle w:val="BodyText"/>
      </w:pPr>
      <w:r>
        <w:t xml:space="preserve">The pattern is the same shape as the standalone short but shifted upward by the carry saving. Every scenario is better by roughly the carry difference. The base grind, which loses money as a standalone short, is roughly breakeven here. The sideways bleed is halved. The wins are larger and the losses are smaller. This is the quantified case for taking the short on the payer leg rather than as a standalone. The one thing the table cannot show is the contingency, because if the client unwinds the long midway, the position comes off at that point regardless of where the loan is, and the realized outcome is whatever the mark and accrued carry were at unwind.</w:t>
      </w:r>
    </w:p>
    <w:p>
      <w:r>
        <w:pict>
          <v:rect style="width:0;height:1.5pt" o:hralign="center" o:hrstd="t" o:hr="t"/>
        </w:pict>
      </w:r>
    </w:p>
    <w:bookmarkEnd w:id="45"/>
    <w:bookmarkStart w:id="49" w:name="counterparty-risk-and-margin"/>
    <w:p>
      <w:pPr>
        <w:pStyle w:val="Heading1"/>
      </w:pPr>
      <w:r>
        <w:t xml:space="preserve">7. Counterparty Risk and Margin</w:t>
      </w:r>
    </w:p>
    <w:bookmarkStart w:id="46" w:name="which-way-the-exposure-runs"/>
    <w:p>
      <w:pPr>
        <w:pStyle w:val="Heading2"/>
      </w:pPr>
      <w:r>
        <w:t xml:space="preserve">7.1 Which Way The Exposure Runs</w:t>
      </w:r>
    </w:p>
    <w:p>
      <w:pPr>
        <w:pStyle w:val="FirstParagraph"/>
      </w:pPr>
      <w:r>
        <w:t xml:space="preserve">Your counterparty exposure is to the long client, and it bites when the loan falls. When the loan cheapens, the client’s long is losing and the client owes you the depreciation, so your current exposure to the client is positive and you rely on the client to pay. This is the mirror of the other dealer seat. Here your credit exposure to the client materializes in exactly the scenario where your own short is winning, which means your paper gain on the short is only as good as the client’s ability to meet its margin call on a losing long.</w:t>
      </w:r>
    </w:p>
    <w:bookmarkEnd w:id="46"/>
    <w:bookmarkStart w:id="47" w:name="the-collateral-framework"/>
    <w:p>
      <w:pPr>
        <w:pStyle w:val="Heading2"/>
      </w:pPr>
      <w:r>
        <w:t xml:space="preserve">7.2 The Collateral Framework</w:t>
      </w:r>
    </w:p>
    <w:p>
      <w:pPr>
        <w:pStyle w:val="FirstParagraph"/>
      </w:pPr>
      <w:r>
        <w:t xml:space="preserve">The trade sits under an ISDA Master Agreement and a Credit Support Annex. The client posts an Independent Amount at inception, an initial margin cushioning gap risk, and then variation margin passes daily, the client posting to you as the loan falls and you posting to the client as it rises. The Independent Amount and the daily variation margin are what let you carry this exposure without taking unsecured client risk. Because loans can gap, set the Independent Amount conservatively so a sharp fall against the client is covered before variation margin catches up.</w:t>
      </w:r>
    </w:p>
    <w:bookmarkEnd w:id="47"/>
    <w:bookmarkStart w:id="48" w:name="wrong-way-considerations"/>
    <w:p>
      <w:pPr>
        <w:pStyle w:val="Heading2"/>
      </w:pPr>
      <w:r>
        <w:t xml:space="preserve">7.3 Wrong-Way Considerations</w:t>
      </w:r>
    </w:p>
    <w:p>
      <w:pPr>
        <w:pStyle w:val="FirstParagraph"/>
      </w:pPr>
      <w:r>
        <w:t xml:space="preserve">Consider correlation between the client’s credit and the exposure. If the client is a fund whose broader book is long credit or long this loan, then a credit selloff that pushes GoodRx down, putting the client in debt to you on this trade, may also be stressing the client’s wider portfolio at the same moment. That is a portfolio-level wrong-way effect, usually second-order for a diversified counterparty but real, and another reason to hold a solid Independent Amount rather than relying on the daily mark alone.</w:t>
      </w:r>
    </w:p>
    <w:p>
      <w:r>
        <w:pict>
          <v:rect style="width:0;height:1.5pt" o:hralign="center" o:hrstd="t" o:hr="t"/>
        </w:pict>
      </w:r>
    </w:p>
    <w:bookmarkEnd w:id="48"/>
    <w:bookmarkEnd w:id="49"/>
    <w:bookmarkStart w:id="50" w:name="the-contingency-problem-in-full"/>
    <w:p>
      <w:pPr>
        <w:pStyle w:val="Heading1"/>
      </w:pPr>
      <w:r>
        <w:t xml:space="preserve">8. The Contingency Problem in Full</w:t>
      </w:r>
    </w:p>
    <w:p>
      <w:pPr>
        <w:pStyle w:val="FirstParagraph"/>
      </w:pPr>
      <w:r>
        <w:t xml:space="preserve">The contingency of the short deserves its own treatment because it is the risk most specific to this seat and the one most easily overlooked when the carry looks attractive.</w:t>
      </w:r>
    </w:p>
    <w:p>
      <w:pPr>
        <w:pStyle w:val="BodyText"/>
      </w:pPr>
      <w:r>
        <w:t xml:space="preserve">Your short is only as durable as the client’s long. A long client can unwind for reasons entirely unrelated to your view, a change in their mandate, a redemption, a risk cut, or simply taking a profit. When they do, your short terminates at the prevailing mark, and you crystallize whatever gain or loss and accrued carry exists at that point. If the loan has not yet moved your way, an early client unwind can turn a thesis that would eventually have paid into a realized small loss, because you were carried out of the position before the catalyst.</w:t>
      </w:r>
    </w:p>
    <w:p>
      <w:pPr>
        <w:pStyle w:val="BodyText"/>
      </w:pPr>
      <w:r>
        <w:t xml:space="preserve">If you want to keep the short after a client unwind, you must re-face another long client. That depends on there being long demand in the name at that moment, which you do not control and which may have evaporated precisely because the loan has already moved. So the replacement is least available exactly when you might most want it. This is roll and replacement risk on the client leg, and it is asymmetric against you.</w:t>
      </w:r>
    </w:p>
    <w:p>
      <w:pPr>
        <w:pStyle w:val="BodyText"/>
      </w:pPr>
      <w:r>
        <w:t xml:space="preserve">The management response is to treat the position as opportunistic rather than as a core holding, to size it accordingly, and to be clear internally that the short may come off at the client’s discretion. If the short is being used as a hedge of inventory, recognize that the hedge is not evergreen and that an unwind re-exposes the inventory, which must then be re-hedged by other means. The contingency is not a reason to avoid the trade, but it is a reason not to build a strategy that depends on the short persisting.</w:t>
      </w:r>
    </w:p>
    <w:p>
      <w:r>
        <w:pict>
          <v:rect style="width:0;height:1.5pt" o:hralign="center" o:hrstd="t" o:hr="t"/>
        </w:pict>
      </w:r>
    </w:p>
    <w:bookmarkEnd w:id="50"/>
    <w:bookmarkStart w:id="51" w:name="the-volcker-and-proprietary-trading-gate"/>
    <w:p>
      <w:pPr>
        <w:pStyle w:val="Heading1"/>
      </w:pPr>
      <w:r>
        <w:t xml:space="preserve">9. The Volcker and Proprietary-Trading Gate</w:t>
      </w:r>
    </w:p>
    <w:p>
      <w:pPr>
        <w:pStyle w:val="FirstParagraph"/>
      </w:pPr>
      <w:r>
        <w:t xml:space="preserve">This is the gating condition, and it must be addressed before the carry or the P&amp;L matters. The determination belongs to legal and compliance under current rules and internal policy. What follows is the framework, not a conclusion.</w:t>
      </w:r>
    </w:p>
    <w:p>
      <w:pPr>
        <w:pStyle w:val="BodyText"/>
      </w:pPr>
      <w:r>
        <w:t xml:space="preserve">The core issue is that a naked directional short, held to express a house view that the loan will widen, is proprietary trading. For a banking entity, proprietary trading is restricted, with exemptions for market-making, underwriting, and risk-mitigating hedging. The mechanics and the carry of this trade are identical whether it is legitimate market-making or an impermissible prop bet, so the entire question turns on the rationale, the mandate, the sizing, and the documentation.</w:t>
      </w:r>
    </w:p>
    <w:p>
      <w:pPr>
        <w:pStyle w:val="BodyText"/>
      </w:pPr>
      <w:r>
        <w:t xml:space="preserve">Under the market-making exemption, the residual short you hold as part of providing two-way liquidity to clients must be designed not to exceed the reasonably expected near-term demands of clients. A short that sits within market-making inventory, sized to client demand in the name, and managed as part of a market-making desk’s activity, can qualify. A short that is larger than any plausible client-facilitation need, or that is held after client demand has passed purely because you like the direction, drifts toward prohibited proprietary trading.</w:t>
      </w:r>
    </w:p>
    <w:p>
      <w:pPr>
        <w:pStyle w:val="BodyText"/>
      </w:pPr>
      <w:r>
        <w:t xml:space="preserve">Under the risk-mitigating hedging exemption, a short that hedges an identifiable existing exposure, such as a long GoodRx inventory position, can qualify, provided it is tied to that risk, sized to it, and not left in place once the underlying exposure is gone. This is why the inventory-hedge use in Section 5 is the most straightforward to justify. The hedge must reduce a real risk you actually hold, not be a directional position wearing a hedge label.</w:t>
      </w:r>
    </w:p>
    <w:p>
      <w:pPr>
        <w:pStyle w:val="BodyText"/>
      </w:pPr>
      <w:r>
        <w:t xml:space="preserve">The practical posture is therefore to establish, with compliance, which permission the position sits under before it goes on, to size it to that permission, to document the rationale, and to manage it consistent with that basis over its life. A short that cannot be placed under a permission should not be held as a naked house bet. The attractive carry does not change any of this. It makes the trade efficient once permitted, but it does not make an impermissible position permissible.</w:t>
      </w:r>
    </w:p>
    <w:p>
      <w:r>
        <w:pict>
          <v:rect style="width:0;height:1.5pt" o:hralign="center" o:hrstd="t" o:hr="t"/>
        </w:pict>
      </w:r>
    </w:p>
    <w:bookmarkEnd w:id="51"/>
    <w:bookmarkStart w:id="52" w:name="X342393d5095086e117551c3488ae6b16959639f"/>
    <w:p>
      <w:pPr>
        <w:pStyle w:val="Heading1"/>
      </w:pPr>
      <w:r>
        <w:t xml:space="preserve">10. Information Barrier and the Agent Conflict</w:t>
      </w:r>
    </w:p>
    <w:p>
      <w:pPr>
        <w:pStyle w:val="FirstParagraph"/>
      </w:pPr>
      <w:r>
        <w:t xml:space="preserve">The second gate is the same one that applies across this name. The house is the administrative agent on the GoodRx term loan and was an arranger, so the agency and lending side may hold borrower information that is not public. The trading desk must sit behind the information barrier and operate on public-side information only. If anyone on the desk holds material non-public information on GoodRx, the desk cannot trade until that information is public or the person is appropriately walled off.</w:t>
      </w:r>
    </w:p>
    <w:p>
      <w:pPr>
        <w:pStyle w:val="BodyText"/>
      </w:pPr>
      <w:r>
        <w:t xml:space="preserve">There is also a conflict and reputational dimension in a house being short, even synthetically and even as a market-making residual, a loan it agents. Providing client-long liquidity and taking the resulting short is a normal service and is not improper in itself, but it must be handled within the firm’s conflicts framework, with the required approvals, and with sensitivity to the agency relationship with the borrower. As with the prop-trading gate, the correct step is to confirm with compliance that the desk is clear and the barrier is intact before committing risk.</w:t>
      </w:r>
    </w:p>
    <w:p>
      <w:r>
        <w:pict>
          <v:rect style="width:0;height:1.5pt" o:hralign="center" o:hrstd="t" o:hr="t"/>
        </w:pict>
      </w:r>
    </w:p>
    <w:bookmarkEnd w:id="52"/>
    <w:bookmarkStart w:id="53" w:name="capital-balance-sheet-and-funding"/>
    <w:p>
      <w:pPr>
        <w:pStyle w:val="Heading1"/>
      </w:pPr>
      <w:r>
        <w:t xml:space="preserve">11. Capital, Balance Sheet, and Funding</w:t>
      </w:r>
    </w:p>
    <w:p>
      <w:pPr>
        <w:pStyle w:val="FirstParagraph"/>
      </w:pPr>
      <w:r>
        <w:t xml:space="preserve">Even when permitted and hedged in rationale, the position consumes resources that must be priced and measured.</w:t>
      </w:r>
    </w:p>
    <w:p>
      <w:pPr>
        <w:pStyle w:val="BodyText"/>
      </w:pPr>
      <w:r>
        <w:t xml:space="preserve">Counterparty credit risk capital applies to the swap exposure to the long client, sized off the potential future exposure and reduced by the collateral held, so the margin terms feed your capital as well as your safety.</w:t>
      </w:r>
    </w:p>
    <w:p>
      <w:pPr>
        <w:pStyle w:val="BodyText"/>
      </w:pPr>
      <w:r>
        <w:t xml:space="preserve">Market-risk capital applies to the warehoused short you do not offset. To the extent you carry a directional short, you hold market risk against it and are charged for it, and that charge is part of the true cost of the position.</w:t>
      </w:r>
    </w:p>
    <w:p>
      <w:pPr>
        <w:pStyle w:val="BodyText"/>
      </w:pPr>
      <w:r>
        <w:t xml:space="preserve">Funding and the leverage ratio apply through the collateral mechanics and any cash instruments involved. The leverage ratio can bind on exposure even where the position is collateralized and low in risk terms, so it belongs in the assessment.</w:t>
      </w:r>
    </w:p>
    <w:p>
      <w:pPr>
        <w:pStyle w:val="BodyText"/>
      </w:pPr>
      <w:r>
        <w:t xml:space="preserve">The result is that the negative 2.25% carry is not the whole cost. The full cost of holding the short is the carry plus the capital and balance-sheet charges, and the position is only worth holding if the expected payoff clears that full cost. The cheap carry is a genuine advantage, but it is not free money once capital is loaded in.</w:t>
      </w:r>
    </w:p>
    <w:p>
      <w:r>
        <w:pict>
          <v:rect style="width:0;height:1.5pt" o:hralign="center" o:hrstd="t" o:hr="t"/>
        </w:pict>
      </w:r>
    </w:p>
    <w:bookmarkEnd w:id="53"/>
    <w:bookmarkStart w:id="54" w:name="Xecd7fd5114dae58023b3b580ba1f1835f5cdc56"/>
    <w:p>
      <w:pPr>
        <w:pStyle w:val="Heading1"/>
      </w:pPr>
      <w:r>
        <w:t xml:space="preserve">12. Risk Management, Limits, and What You Monitor</w:t>
      </w:r>
    </w:p>
    <w:p>
      <w:pPr>
        <w:pStyle w:val="FirstParagraph"/>
      </w:pPr>
      <w:r>
        <w:t xml:space="preserve">Run the short against a name limit for GoodRx-specific spread risk, so the warehoused directional position cannot grow beyond your appetite, and keep it sized to whichever permission it sits under.</w:t>
      </w:r>
    </w:p>
    <w:p>
      <w:pPr>
        <w:pStyle w:val="BodyText"/>
      </w:pPr>
      <w:r>
        <w:t xml:space="preserve">Track the contingency. Know that the short can come off at the client’s discretion, monitor the client’s likely behavior, and have a plan for whether and how you would replace or re-hedge if the long unwinds.</w:t>
      </w:r>
    </w:p>
    <w:p>
      <w:pPr>
        <w:pStyle w:val="BodyText"/>
      </w:pPr>
      <w:r>
        <w:t xml:space="preserve">Mark to a robust reference price source with agreed dispute mechanics, since your variation margin and close-out depend on it and loan marks can be thin.</w:t>
      </w:r>
    </w:p>
    <w:p>
      <w:pPr>
        <w:pStyle w:val="BodyText"/>
      </w:pPr>
      <w:r>
        <w:t xml:space="preserve">Hold a conservative Independent Amount calibrated to loan gap behavior, so a sharp fall against the client is collateralized before variation margin catches up.</w:t>
      </w:r>
    </w:p>
    <w:p>
      <w:pPr>
        <w:pStyle w:val="BodyText"/>
      </w:pPr>
      <w:r>
        <w:t xml:space="preserve">Monitor the catalysts that drive the name, the August 5 Q2 print and any rating, litigation, or M&amp;A developments, since your short is most exposed and most active around them, and note that a par take-out is the sharp loss scenario for the short.</w:t>
      </w:r>
    </w:p>
    <w:p>
      <w:pPr>
        <w:pStyle w:val="BodyText"/>
      </w:pPr>
      <w:r>
        <w:t xml:space="preserve">Keep the information barrier clean throughout the life of the trade, not only at inception, and keep the position consistent with the permission it was booked under, since both the wall and the prop-trading basis must hold for the whole life, not just at execution.</w:t>
      </w:r>
    </w:p>
    <w:p>
      <w:r>
        <w:pict>
          <v:rect style="width:0;height:1.5pt" o:hralign="center" o:hrstd="t" o:hr="t"/>
        </w:pict>
      </w:r>
    </w:p>
    <w:bookmarkEnd w:id="54"/>
    <w:bookmarkStart w:id="55" w:name="X5ab008ad10ee2099788d835137dc2fd919e9f64"/>
    <w:p>
      <w:pPr>
        <w:pStyle w:val="Heading1"/>
      </w:pPr>
      <w:r>
        <w:t xml:space="preserve">13. Questions You Should Expect (Dealer as Payer)</w:t>
      </w:r>
    </w:p>
    <w:p>
      <w:pPr>
        <w:pStyle w:val="FirstParagraph"/>
      </w:pPr>
      <w:r>
        <w:rPr>
          <w:bCs/>
          <w:b/>
        </w:rPr>
        <w:t xml:space="preserve">Q1. You are the payer. Are you short?</w:t>
      </w:r>
      <w:r>
        <w:t xml:space="preserve"> </w:t>
      </w:r>
      <w:r>
        <w:t xml:space="preserve">Yes, on the swap. I pay the loan’s total return and receive financing, so I gain if the loan falls and lose if it rises. Unhedged, the payer leg is a short. If I held the physical loan against it I would be flat, but as a short pitch I am not hedging.</w:t>
      </w:r>
    </w:p>
    <w:p>
      <w:pPr>
        <w:pStyle w:val="BodyText"/>
      </w:pPr>
      <w:r>
        <w:rPr>
          <w:bCs/>
          <w:b/>
        </w:rPr>
        <w:t xml:space="preserve">Q2. How are you short a loan you cannot borrow?</w:t>
      </w:r>
      <w:r>
        <w:t xml:space="preserve"> </w:t>
      </w:r>
      <w:r>
        <w:t xml:space="preserve">Through the client’s long. I cannot short or borrow the cash loan, so I have no independent way to get short. A client who wants to be long via the swap is what puts me on the other side. Their long creates my short.</w:t>
      </w:r>
    </w:p>
    <w:p>
      <w:pPr>
        <w:pStyle w:val="BodyText"/>
      </w:pPr>
      <w:r>
        <w:rPr>
          <w:bCs/>
          <w:b/>
        </w:rPr>
        <w:t xml:space="preserve">Q3. What is your carry, and why is it better than a normal short?</w:t>
      </w:r>
      <w:r>
        <w:t xml:space="preserve"> </w:t>
      </w:r>
      <w:r>
        <w:t xml:space="preserve">Roughly negative 2.25% a year, versus about negative 5% for a standalone synthetic short. I pay the loan spread of 375 but I receive the financing spread from the long client instead of paying it, so I pay 375 minus the financing spread rather than 375 plus it. The long client subsidizes my short.</w:t>
      </w:r>
    </w:p>
    <w:p>
      <w:pPr>
        <w:pStyle w:val="BodyText"/>
      </w:pPr>
      <w:r>
        <w:rPr>
          <w:bCs/>
          <w:b/>
        </w:rPr>
        <w:t xml:space="preserve">Q4. Show me the carry math.</w:t>
      </w:r>
      <w:r>
        <w:t xml:space="preserve"> </w:t>
      </w:r>
      <w:r>
        <w:t xml:space="preserve">I pay the loan coupon of SOFR plus 3.75% and receive financing of SOFR plus about 1.50%. The SOFR terms cancel. I am left paying 3.75% and receiving 1.50%, a net of about negative 2.25%.</w:t>
      </w:r>
    </w:p>
    <w:p>
      <w:pPr>
        <w:pStyle w:val="BodyText"/>
      </w:pPr>
      <w:r>
        <w:rPr>
          <w:bCs/>
          <w:b/>
        </w:rPr>
        <w:t xml:space="preserve">Q5. What is the catch?</w:t>
      </w:r>
      <w:r>
        <w:t xml:space="preserve"> </w:t>
      </w:r>
      <w:r>
        <w:t xml:space="preserve">It is contingent. The short exists only while the client’s long exists. If the client unwinds, my short comes off at the mark, whether or not the loan has moved my way. To keep it I have to re-face another long, which depends on demand I do not control and which is least available right when I would most want it.</w:t>
      </w:r>
    </w:p>
    <w:p>
      <w:pPr>
        <w:pStyle w:val="BodyText"/>
      </w:pPr>
      <w:r>
        <w:rPr>
          <w:bCs/>
          <w:b/>
        </w:rPr>
        <w:t xml:space="preserve">Q6. So can you rely on this as a held short?</w:t>
      </w:r>
      <w:r>
        <w:t xml:space="preserve"> </w:t>
      </w:r>
      <w:r>
        <w:t xml:space="preserve">Not really. It is opportunistic, not a persistent position. That is why the sensible uses are market-making and inventory hedging, where the transience is fine, rather than a naked held bet that depends on the short surviving.</w:t>
      </w:r>
    </w:p>
    <w:p>
      <w:pPr>
        <w:pStyle w:val="BodyText"/>
      </w:pPr>
      <w:r>
        <w:rPr>
          <w:bCs/>
          <w:b/>
        </w:rPr>
        <w:t xml:space="preserve">Q7. Why would you actually put this on?</w:t>
      </w:r>
      <w:r>
        <w:t xml:space="preserve"> </w:t>
      </w:r>
      <w:r>
        <w:t xml:space="preserve">Three reasons. Market-making the client-long flow and warehousing the residual short. Reducing or hedging an existing long inventory position synthetically without selling the cash loan. Or, most carefully, expressing a directional short view cheaply, which is the use most exposed to the prop-trading rules.</w:t>
      </w:r>
    </w:p>
    <w:p>
      <w:pPr>
        <w:pStyle w:val="BodyText"/>
      </w:pPr>
      <w:r>
        <w:rPr>
          <w:bCs/>
          <w:b/>
        </w:rPr>
        <w:t xml:space="preserve">Q8. Is this proprietary trading?</w:t>
      </w:r>
      <w:r>
        <w:t xml:space="preserve"> </w:t>
      </w:r>
      <w:r>
        <w:t xml:space="preserve">A naked directional short held as a house view would be. The mechanics are identical to a legitimate market-making residual or an inventory hedge, so the whole question is the rationale, the mandate, the sizing, and the documentation. It has to sit under a market-making or hedging permission, sized to client demand or to the risk it hedges, and compliance makes that determination before it goes on.</w:t>
      </w:r>
    </w:p>
    <w:p>
      <w:pPr>
        <w:pStyle w:val="BodyText"/>
      </w:pPr>
      <w:r>
        <w:rPr>
          <w:bCs/>
          <w:b/>
        </w:rPr>
        <w:t xml:space="preserve">Q9. How does the market-making exemption apply?</w:t>
      </w:r>
      <w:r>
        <w:t xml:space="preserve"> </w:t>
      </w:r>
      <w:r>
        <w:t xml:space="preserve">A residual short held as part of providing two-way liquidity, sized to the reasonably expected near-term demand of clients, can qualify. A short larger than any plausible facilitation need, or held after client demand has passed because I like the direction, drifts toward prohibited prop trading.</w:t>
      </w:r>
    </w:p>
    <w:p>
      <w:pPr>
        <w:pStyle w:val="BodyText"/>
      </w:pPr>
      <w:r>
        <w:rPr>
          <w:bCs/>
          <w:b/>
        </w:rPr>
        <w:t xml:space="preserve">Q10. How does the hedging exemption apply?</w:t>
      </w:r>
      <w:r>
        <w:t xml:space="preserve"> </w:t>
      </w:r>
      <w:r>
        <w:t xml:space="preserve">If I am long the loan in inventory, the payer leg offsets that long and is a risk-mitigating hedge, provided it is tied to the exposure, sized to it, and removed when the exposure is gone. That is the cleanest justification, and it is why the inventory-hedge use is the most defensible.</w:t>
      </w:r>
    </w:p>
    <w:p>
      <w:pPr>
        <w:pStyle w:val="BodyText"/>
      </w:pPr>
      <w:r>
        <w:rPr>
          <w:bCs/>
          <w:b/>
        </w:rPr>
        <w:t xml:space="preserve">Q11. Where does your counterparty risk bite?</w:t>
      </w:r>
      <w:r>
        <w:t xml:space="preserve"> </w:t>
      </w:r>
      <w:r>
        <w:t xml:space="preserve">When the loan falls, because then the client’s long is losing and the client owes me. My paper gain on the short is only as good as the client’s ability to meet margin on a losing long. The Independent Amount and daily variation margin cover it, and I set the Independent Amount conservatively for loan gap risk.</w:t>
      </w:r>
    </w:p>
    <w:p>
      <w:pPr>
        <w:pStyle w:val="BodyText"/>
      </w:pPr>
      <w:r>
        <w:rPr>
          <w:bCs/>
          <w:b/>
        </w:rPr>
        <w:t xml:space="preserve">Q12. Is there wrong-way risk?</w:t>
      </w:r>
      <w:r>
        <w:t xml:space="preserve"> </w:t>
      </w:r>
      <w:r>
        <w:t xml:space="preserve">Mild and at the portfolio level. If the client’s wider book is long credit, a selloff that puts the client in debt to me here may also be stressing the client elsewhere. Second-order for a diversified counterparty, but a reason to hold solid initial margin.</w:t>
      </w:r>
    </w:p>
    <w:p>
      <w:pPr>
        <w:pStyle w:val="BodyText"/>
      </w:pPr>
      <w:r>
        <w:rPr>
          <w:bCs/>
          <w:b/>
        </w:rPr>
        <w:t xml:space="preserve">Q13. What does a par take-out do to you?</w:t>
      </w:r>
      <w:r>
        <w:t xml:space="preserve"> </w:t>
      </w:r>
      <w:r>
        <w:t xml:space="preserve">It is the sharp loss scenario, because the loan is repaid at par above my short entry and I lose the pull to par plus the carry. It is the mirror of the standalone short’s worst case. A warehoused long would love it, but I am short here.</w:t>
      </w:r>
    </w:p>
    <w:p>
      <w:pPr>
        <w:pStyle w:val="BodyText"/>
      </w:pPr>
      <w:r>
        <w:rPr>
          <w:bCs/>
          <w:b/>
        </w:rPr>
        <w:t xml:space="preserve">Q14. What does it cost in capital?</w:t>
      </w:r>
      <w:r>
        <w:t xml:space="preserve"> </w:t>
      </w:r>
      <w:r>
        <w:t xml:space="preserve">Counterparty capital on the client exposure, market-risk capital on the warehoused short, and leverage-ratio balance sheet. The negative 2.25% carry is not the full cost. The full cost is carry plus capital, and the payoff has to clear that.</w:t>
      </w:r>
    </w:p>
    <w:p>
      <w:pPr>
        <w:pStyle w:val="BodyText"/>
      </w:pPr>
      <w:r>
        <w:rPr>
          <w:bCs/>
          <w:b/>
        </w:rPr>
        <w:t xml:space="preserve">Q15. What is the compliance sequence?</w:t>
      </w:r>
      <w:r>
        <w:t xml:space="preserve"> </w:t>
      </w:r>
      <w:r>
        <w:t xml:space="preserve">Confirm the information barrier is intact and the desk is on the public side, since the house agents the loan. Establish with compliance which permission the short sits under and size it to that permission. Document the rationale. Then trade. If it cannot be placed under a permission, it does not go on as a naked bet.</w:t>
      </w:r>
    </w:p>
    <w:p>
      <w:pPr>
        <w:pStyle w:val="BodyText"/>
      </w:pPr>
      <w:r>
        <w:rPr>
          <w:bCs/>
          <w:b/>
        </w:rPr>
        <w:t xml:space="preserve">Q16. Give me the one-sentence version.</w:t>
      </w:r>
      <w:r>
        <w:t xml:space="preserve"> </w:t>
      </w:r>
      <w:r>
        <w:t xml:space="preserve">Taking the payer leg of a client’s long is the cheapest way for me to get short a loan I cannot borrow, at roughly negative 2.25% carry instead of negative 5%, because the long client subsidizes the financing, but it is a contingent, capital-consuming short that exists only while the client’s long does and only if it clears the prop-trading rules and the information barrier.</w:t>
      </w:r>
    </w:p>
    <w:p>
      <w:r>
        <w:pict>
          <v:rect style="width:0;height:1.5pt" o:hralign="center" o:hrstd="t" o:hr="t"/>
        </w:pict>
      </w:r>
    </w:p>
    <w:bookmarkEnd w:id="55"/>
    <w:bookmarkStart w:id="62" w:name="appendix"/>
    <w:p>
      <w:pPr>
        <w:pStyle w:val="Heading1"/>
      </w:pPr>
      <w:r>
        <w:t xml:space="preserve">14. Appendix</w:t>
      </w:r>
    </w:p>
    <w:bookmarkStart w:id="56" w:name="position-and-carry-at-a-glance"/>
    <w:p>
      <w:pPr>
        <w:pStyle w:val="Heading2"/>
      </w:pPr>
      <w:r>
        <w:t xml:space="preserve">14.1 Position and Carry 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Your seat</w:t>
            </w:r>
          </w:p>
        </w:tc>
      </w:tr>
      <w:tr>
        <w:tc>
          <w:tcPr/>
          <w:p>
            <w:pPr>
              <w:pStyle w:val="Compact"/>
              <w:jc w:val="left"/>
            </w:pPr>
            <w:r>
              <w:t xml:space="preserve">Role</w:t>
            </w:r>
          </w:p>
        </w:tc>
        <w:tc>
          <w:tcPr/>
          <w:p>
            <w:pPr>
              <w:pStyle w:val="Compact"/>
              <w:jc w:val="left"/>
            </w:pPr>
            <w:r>
              <w:t xml:space="preserve">Total Return Payer</w:t>
            </w:r>
          </w:p>
        </w:tc>
      </w:tr>
      <w:tr>
        <w:tc>
          <w:tcPr/>
          <w:p>
            <w:pPr>
              <w:pStyle w:val="Compact"/>
              <w:jc w:val="left"/>
            </w:pPr>
            <w:r>
              <w:t xml:space="preserve">Economic position (unhedged)</w:t>
            </w:r>
          </w:p>
        </w:tc>
        <w:tc>
          <w:tcPr/>
          <w:p>
            <w:pPr>
              <w:pStyle w:val="Compact"/>
              <w:jc w:val="left"/>
            </w:pPr>
            <w:r>
              <w:t xml:space="preserve">Short the loan on the swap</w:t>
            </w:r>
          </w:p>
        </w:tc>
      </w:tr>
      <w:tr>
        <w:tc>
          <w:tcPr/>
          <w:p>
            <w:pPr>
              <w:pStyle w:val="Compact"/>
              <w:jc w:val="left"/>
            </w:pPr>
            <w:r>
              <w:t xml:space="preserve">Gain when</w:t>
            </w:r>
          </w:p>
        </w:tc>
        <w:tc>
          <w:tcPr/>
          <w:p>
            <w:pPr>
              <w:pStyle w:val="Compact"/>
              <w:jc w:val="left"/>
            </w:pPr>
            <w:r>
              <w:t xml:space="preserve">Loan cheapens or widens</w:t>
            </w:r>
          </w:p>
        </w:tc>
      </w:tr>
      <w:tr>
        <w:tc>
          <w:tcPr/>
          <w:p>
            <w:pPr>
              <w:pStyle w:val="Compact"/>
              <w:jc w:val="left"/>
            </w:pPr>
            <w:r>
              <w:t xml:space="preserve">Lose when</w:t>
            </w:r>
          </w:p>
        </w:tc>
        <w:tc>
          <w:tcPr/>
          <w:p>
            <w:pPr>
              <w:pStyle w:val="Compact"/>
              <w:jc w:val="left"/>
            </w:pPr>
            <w:r>
              <w:t xml:space="preserve">Loan richens or is taken out at par</w:t>
            </w:r>
          </w:p>
        </w:tc>
      </w:tr>
      <w:tr>
        <w:tc>
          <w:tcPr/>
          <w:p>
            <w:pPr>
              <w:pStyle w:val="Compact"/>
              <w:jc w:val="left"/>
            </w:pPr>
            <w:r>
              <w:t xml:space="preserve">Source of the short</w:t>
            </w:r>
          </w:p>
        </w:tc>
        <w:tc>
          <w:tcPr/>
          <w:p>
            <w:pPr>
              <w:pStyle w:val="Compact"/>
              <w:jc w:val="left"/>
            </w:pPr>
            <w:r>
              <w:t xml:space="preserve">The client’s long</w:t>
            </w:r>
          </w:p>
        </w:tc>
      </w:tr>
      <w:tr>
        <w:tc>
          <w:tcPr/>
          <w:p>
            <w:pPr>
              <w:pStyle w:val="Compact"/>
              <w:jc w:val="left"/>
            </w:pPr>
            <w:r>
              <w:t xml:space="preserve">Net carry</w:t>
            </w:r>
          </w:p>
        </w:tc>
        <w:tc>
          <w:tcPr/>
          <w:p>
            <w:pPr>
              <w:pStyle w:val="Compact"/>
              <w:jc w:val="left"/>
            </w:pPr>
            <w:r>
              <w:t xml:space="preserve">~-2.25% per year (loan spread minus financing spread received)</w:t>
            </w:r>
          </w:p>
        </w:tc>
      </w:tr>
      <w:tr>
        <w:tc>
          <w:tcPr/>
          <w:p>
            <w:pPr>
              <w:pStyle w:val="Compact"/>
              <w:jc w:val="left"/>
            </w:pPr>
            <w:r>
              <w:t xml:space="preserve">Versus standalone short</w:t>
            </w:r>
          </w:p>
        </w:tc>
        <w:tc>
          <w:tcPr/>
          <w:p>
            <w:pPr>
              <w:pStyle w:val="Compact"/>
              <w:jc w:val="left"/>
            </w:pPr>
            <w:r>
              <w:t xml:space="preserve">~2.75% cheaper carry</w:t>
            </w:r>
          </w:p>
        </w:tc>
      </w:tr>
      <w:tr>
        <w:tc>
          <w:tcPr/>
          <w:p>
            <w:pPr>
              <w:pStyle w:val="Compact"/>
              <w:jc w:val="left"/>
            </w:pPr>
            <w:r>
              <w:t xml:space="preserve">Durability</w:t>
            </w:r>
          </w:p>
        </w:tc>
        <w:tc>
          <w:tcPr/>
          <w:p>
            <w:pPr>
              <w:pStyle w:val="Compact"/>
              <w:jc w:val="left"/>
            </w:pPr>
            <w:r>
              <w:t xml:space="preserve">Contingent on the client’s long persisting</w:t>
            </w:r>
          </w:p>
        </w:tc>
      </w:tr>
      <w:tr>
        <w:tc>
          <w:tcPr/>
          <w:p>
            <w:pPr>
              <w:pStyle w:val="Compact"/>
              <w:jc w:val="left"/>
            </w:pPr>
            <w:r>
              <w:t xml:space="preserve">Best uses</w:t>
            </w:r>
          </w:p>
        </w:tc>
        <w:tc>
          <w:tcPr/>
          <w:p>
            <w:pPr>
              <w:pStyle w:val="Compact"/>
              <w:jc w:val="left"/>
            </w:pPr>
            <w:r>
              <w:t xml:space="preserve">Market-making residual, inventory hedge, careful opportunistic short</w:t>
            </w:r>
          </w:p>
        </w:tc>
      </w:tr>
      <w:tr>
        <w:tc>
          <w:tcPr/>
          <w:p>
            <w:pPr>
              <w:pStyle w:val="Compact"/>
              <w:jc w:val="left"/>
            </w:pPr>
            <w:r>
              <w:t xml:space="preserve">Counterparty risk bites</w:t>
            </w:r>
          </w:p>
        </w:tc>
        <w:tc>
          <w:tcPr/>
          <w:p>
            <w:pPr>
              <w:pStyle w:val="Compact"/>
              <w:jc w:val="left"/>
            </w:pPr>
            <w:r>
              <w:t xml:space="preserve">When loan falls (client’s long losing, owes you)</w:t>
            </w:r>
          </w:p>
        </w:tc>
      </w:tr>
      <w:tr>
        <w:tc>
          <w:tcPr/>
          <w:p>
            <w:pPr>
              <w:pStyle w:val="Compact"/>
              <w:jc w:val="left"/>
            </w:pPr>
            <w:r>
              <w:t xml:space="preserve">Collateral</w:t>
            </w:r>
          </w:p>
        </w:tc>
        <w:tc>
          <w:tcPr/>
          <w:p>
            <w:pPr>
              <w:pStyle w:val="Compact"/>
              <w:jc w:val="left"/>
            </w:pPr>
            <w:r>
              <w:t xml:space="preserve">ISDA and CSA, Independent Amount, daily VM</w:t>
            </w:r>
          </w:p>
        </w:tc>
      </w:tr>
      <w:tr>
        <w:tc>
          <w:tcPr/>
          <w:p>
            <w:pPr>
              <w:pStyle w:val="Compact"/>
              <w:jc w:val="left"/>
            </w:pPr>
            <w:r>
              <w:t xml:space="preserve">Capital</w:t>
            </w:r>
          </w:p>
        </w:tc>
        <w:tc>
          <w:tcPr/>
          <w:p>
            <w:pPr>
              <w:pStyle w:val="Compact"/>
              <w:jc w:val="left"/>
            </w:pPr>
            <w:r>
              <w:t xml:space="preserve">CCR RWA, market-risk on warehoused short, leverage ratio</w:t>
            </w:r>
          </w:p>
        </w:tc>
      </w:tr>
      <w:tr>
        <w:tc>
          <w:tcPr/>
          <w:p>
            <w:pPr>
              <w:pStyle w:val="Compact"/>
              <w:jc w:val="left"/>
            </w:pPr>
            <w:r>
              <w:t xml:space="preserve">Gate 1</w:t>
            </w:r>
          </w:p>
        </w:tc>
        <w:tc>
          <w:tcPr/>
          <w:p>
            <w:pPr>
              <w:pStyle w:val="Compact"/>
              <w:jc w:val="left"/>
            </w:pPr>
            <w:r>
              <w:t xml:space="preserve">Volcker / prop-trading permission</w:t>
            </w:r>
          </w:p>
        </w:tc>
      </w:tr>
      <w:tr>
        <w:tc>
          <w:tcPr/>
          <w:p>
            <w:pPr>
              <w:pStyle w:val="Compact"/>
              <w:jc w:val="left"/>
            </w:pPr>
            <w:r>
              <w:t xml:space="preserve">Gate 2</w:t>
            </w:r>
          </w:p>
        </w:tc>
        <w:tc>
          <w:tcPr/>
          <w:p>
            <w:pPr>
              <w:pStyle w:val="Compact"/>
              <w:jc w:val="left"/>
            </w:pPr>
            <w:r>
              <w:t xml:space="preserve">Information barrier (house is agent and arranger)</w:t>
            </w:r>
          </w:p>
        </w:tc>
      </w:tr>
    </w:tbl>
    <w:bookmarkEnd w:id="56"/>
    <w:bookmarkStart w:id="57" w:name="carry-comparison"/>
    <w:p>
      <w:pPr>
        <w:pStyle w:val="Heading2"/>
      </w:pPr>
      <w:r>
        <w:t xml:space="preserve">14.2 Carry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Structure</w:t>
            </w:r>
          </w:p>
        </w:tc>
        <w:tc>
          <w:tcPr/>
          <w:p>
            <w:pPr>
              <w:pStyle w:val="Compact"/>
              <w:jc w:val="left"/>
            </w:pPr>
            <w:r>
              <w:t xml:space="preserve">Who pays financing</w:t>
            </w:r>
          </w:p>
        </w:tc>
        <w:tc>
          <w:tcPr/>
          <w:p>
            <w:pPr>
              <w:pStyle w:val="Compact"/>
              <w:jc w:val="left"/>
            </w:pPr>
            <w:r>
              <w:t xml:space="preserve">Net carry</w:t>
            </w:r>
          </w:p>
        </w:tc>
      </w:tr>
      <w:tr>
        <w:tc>
          <w:tcPr/>
          <w:p>
            <w:pPr>
              <w:pStyle w:val="Compact"/>
              <w:jc w:val="left"/>
            </w:pPr>
            <w:r>
              <w:t xml:space="preserve">Standalone synthetic short (you are the short client)</w:t>
            </w:r>
          </w:p>
        </w:tc>
        <w:tc>
          <w:tcPr/>
          <w:p>
            <w:pPr>
              <w:pStyle w:val="Compact"/>
              <w:jc w:val="left"/>
            </w:pPr>
            <w:r>
              <w:t xml:space="preserve">You pay the dealer</w:t>
            </w:r>
          </w:p>
        </w:tc>
        <w:tc>
          <w:tcPr/>
          <w:p>
            <w:pPr>
              <w:pStyle w:val="Compact"/>
              <w:jc w:val="left"/>
            </w:pPr>
            <w:r>
              <w:t xml:space="preserve">~-5.0%</w:t>
            </w:r>
          </w:p>
        </w:tc>
      </w:tr>
      <w:tr>
        <w:tc>
          <w:tcPr/>
          <w:p>
            <w:pPr>
              <w:pStyle w:val="Compact"/>
              <w:jc w:val="left"/>
            </w:pPr>
            <w:r>
              <w:t xml:space="preserve">Dealer as payer facing a client long (this trade)</w:t>
            </w:r>
          </w:p>
        </w:tc>
        <w:tc>
          <w:tcPr/>
          <w:p>
            <w:pPr>
              <w:pStyle w:val="Compact"/>
              <w:jc w:val="left"/>
            </w:pPr>
            <w:r>
              <w:t xml:space="preserve">The long client pays you</w:t>
            </w:r>
          </w:p>
        </w:tc>
        <w:tc>
          <w:tcPr/>
          <w:p>
            <w:pPr>
              <w:pStyle w:val="Compact"/>
              <w:jc w:val="left"/>
            </w:pPr>
            <w:r>
              <w:t xml:space="preserve">~-2.25%</w:t>
            </w:r>
          </w:p>
        </w:tc>
      </w:tr>
      <w:tr>
        <w:tc>
          <w:tcPr/>
          <w:p>
            <w:pPr>
              <w:pStyle w:val="Compact"/>
              <w:jc w:val="left"/>
            </w:pPr>
            <w:r>
              <w:t xml:space="preserve">Difference</w:t>
            </w:r>
          </w:p>
        </w:tc>
        <w:tc>
          <w:tcPr/>
          <w:p>
            <w:pPr>
              <w:pStyle w:val="Compact"/>
            </w:pPr>
          </w:p>
        </w:tc>
        <w:tc>
          <w:tcPr/>
          <w:p>
            <w:pPr>
              <w:pStyle w:val="Compact"/>
              <w:jc w:val="left"/>
            </w:pPr>
            <w:r>
              <w:t xml:space="preserve">~2.75% (close to the full bid-offer)</w:t>
            </w:r>
          </w:p>
        </w:tc>
      </w:tr>
    </w:tbl>
    <w:bookmarkEnd w:id="57"/>
    <w:bookmarkStart w:id="58" w:name="X4c99565665c65d3af6cf975189a8be10dede3e2"/>
    <w:p>
      <w:pPr>
        <w:pStyle w:val="Heading2"/>
      </w:pPr>
      <w:r>
        <w:t xml:space="preserve">14.3 Scenario Summary (15M notional, entry 98.75, -2.25% carry)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Net %</w:t>
            </w:r>
          </w:p>
        </w:tc>
        <w:tc>
          <w:tcPr/>
          <w:p>
            <w:pPr>
              <w:pStyle w:val="Compact"/>
              <w:jc w:val="left"/>
            </w:pPr>
            <w:r>
              <w:t xml:space="preserve">Standalone short net %</w:t>
            </w:r>
          </w:p>
        </w:tc>
      </w:tr>
      <w:tr>
        <w:tc>
          <w:tcPr/>
          <w:p>
            <w:pPr>
              <w:pStyle w:val="Compact"/>
              <w:jc w:val="left"/>
            </w:pPr>
            <w:r>
              <w:t xml:space="preserve">Catalyst gap (6mo, to 91)</w:t>
            </w:r>
          </w:p>
        </w:tc>
        <w:tc>
          <w:tcPr/>
          <w:p>
            <w:pPr>
              <w:pStyle w:val="Compact"/>
              <w:jc w:val="left"/>
            </w:pPr>
            <w:r>
              <w:t xml:space="preserve">+6.6%</w:t>
            </w:r>
          </w:p>
        </w:tc>
        <w:tc>
          <w:tcPr/>
          <w:p>
            <w:pPr>
              <w:pStyle w:val="Compact"/>
              <w:jc w:val="left"/>
            </w:pPr>
            <w:r>
              <w:t xml:space="preserve">+5.3%</w:t>
            </w:r>
          </w:p>
        </w:tc>
      </w:tr>
      <w:tr>
        <w:tc>
          <w:tcPr/>
          <w:p>
            <w:pPr>
              <w:pStyle w:val="Compact"/>
              <w:jc w:val="left"/>
            </w:pPr>
            <w:r>
              <w:t xml:space="preserve">Severe (12mo, to 85)</w:t>
            </w:r>
          </w:p>
        </w:tc>
        <w:tc>
          <w:tcPr/>
          <w:p>
            <w:pPr>
              <w:pStyle w:val="Compact"/>
              <w:jc w:val="left"/>
            </w:pPr>
            <w:r>
              <w:t xml:space="preserve">+11.5%</w:t>
            </w:r>
          </w:p>
        </w:tc>
        <w:tc>
          <w:tcPr/>
          <w:p>
            <w:pPr>
              <w:pStyle w:val="Compact"/>
              <w:jc w:val="left"/>
            </w:pPr>
            <w:r>
              <w:t xml:space="preserve">+8.8%</w:t>
            </w:r>
          </w:p>
        </w:tc>
      </w:tr>
      <w:tr>
        <w:tc>
          <w:tcPr/>
          <w:p>
            <w:pPr>
              <w:pStyle w:val="Compact"/>
              <w:jc w:val="left"/>
            </w:pPr>
            <w:r>
              <w:t xml:space="preserve">Base grind (18mo, to 94.5)</w:t>
            </w:r>
          </w:p>
        </w:tc>
        <w:tc>
          <w:tcPr/>
          <w:p>
            <w:pPr>
              <w:pStyle w:val="Compact"/>
              <w:jc w:val="left"/>
            </w:pPr>
            <w:r>
              <w:t xml:space="preserve">+0.9%</w:t>
            </w:r>
          </w:p>
        </w:tc>
        <w:tc>
          <w:tcPr/>
          <w:p>
            <w:pPr>
              <w:pStyle w:val="Compact"/>
              <w:jc w:val="left"/>
            </w:pPr>
            <w:r>
              <w:t xml:space="preserve">-3.3%</w:t>
            </w:r>
          </w:p>
        </w:tc>
      </w:tr>
      <w:tr>
        <w:tc>
          <w:tcPr/>
          <w:p>
            <w:pPr>
              <w:pStyle w:val="Compact"/>
              <w:jc w:val="left"/>
            </w:pPr>
            <w:r>
              <w:t xml:space="preserve">Sideways (12mo)</w:t>
            </w:r>
          </w:p>
        </w:tc>
        <w:tc>
          <w:tcPr/>
          <w:p>
            <w:pPr>
              <w:pStyle w:val="Compact"/>
              <w:jc w:val="left"/>
            </w:pPr>
            <w:r>
              <w:t xml:space="preserve">-2.25%</w:t>
            </w:r>
          </w:p>
        </w:tc>
        <w:tc>
          <w:tcPr/>
          <w:p>
            <w:pPr>
              <w:pStyle w:val="Compact"/>
              <w:jc w:val="left"/>
            </w:pPr>
            <w:r>
              <w:t xml:space="preserve">-5.0%</w:t>
            </w:r>
          </w:p>
        </w:tc>
      </w:tr>
      <w:tr>
        <w:tc>
          <w:tcPr/>
          <w:p>
            <w:pPr>
              <w:pStyle w:val="Compact"/>
              <w:jc w:val="left"/>
            </w:pPr>
            <w:r>
              <w:t xml:space="preserve">Par take-out (12mo)</w:t>
            </w:r>
          </w:p>
        </w:tc>
        <w:tc>
          <w:tcPr/>
          <w:p>
            <w:pPr>
              <w:pStyle w:val="Compact"/>
              <w:jc w:val="left"/>
            </w:pPr>
            <w:r>
              <w:t xml:space="preserve">-3.5%</w:t>
            </w:r>
          </w:p>
        </w:tc>
        <w:tc>
          <w:tcPr/>
          <w:p>
            <w:pPr>
              <w:pStyle w:val="Compact"/>
              <w:jc w:val="left"/>
            </w:pPr>
            <w:r>
              <w:t xml:space="preserve">-6.3%</w:t>
            </w:r>
          </w:p>
        </w:tc>
      </w:tr>
    </w:tbl>
    <w:bookmarkEnd w:id="58"/>
    <w:bookmarkStart w:id="59" w:name="key-definitions"/>
    <w:p>
      <w:pPr>
        <w:pStyle w:val="Heading2"/>
      </w:pPr>
      <w:r>
        <w:t xml:space="preserve">14.4 Key Definitions</w:t>
      </w:r>
    </w:p>
    <w:p>
      <w:pPr>
        <w:numPr>
          <w:ilvl w:val="0"/>
          <w:numId w:val="1001"/>
        </w:numPr>
        <w:pStyle w:val="Compact"/>
      </w:pPr>
      <w:r>
        <w:rPr>
          <w:bCs/>
          <w:b/>
        </w:rPr>
        <w:t xml:space="preserve">Total Return Payer:</w:t>
      </w:r>
      <w:r>
        <w:t xml:space="preserve"> </w:t>
      </w:r>
      <w:r>
        <w:t xml:space="preserve">Your role. You pay the loan’s total return and receive financing. Economically short on the swap.</w:t>
      </w:r>
    </w:p>
    <w:p>
      <w:pPr>
        <w:numPr>
          <w:ilvl w:val="0"/>
          <w:numId w:val="1001"/>
        </w:numPr>
        <w:pStyle w:val="Compact"/>
      </w:pPr>
      <w:r>
        <w:rPr>
          <w:bCs/>
          <w:b/>
        </w:rPr>
        <w:t xml:space="preserve">Total Return Receiver:</w:t>
      </w:r>
      <w:r>
        <w:t xml:space="preserve"> </w:t>
      </w:r>
      <w:r>
        <w:t xml:space="preserve">The client’s role here. Receives the loan’s total return, pays financing. Economically long.</w:t>
      </w:r>
    </w:p>
    <w:p>
      <w:pPr>
        <w:numPr>
          <w:ilvl w:val="0"/>
          <w:numId w:val="1001"/>
        </w:numPr>
        <w:pStyle w:val="Compact"/>
      </w:pPr>
      <w:r>
        <w:rPr>
          <w:bCs/>
          <w:b/>
        </w:rPr>
        <w:t xml:space="preserve">Contingent short:</w:t>
      </w:r>
      <w:r>
        <w:t xml:space="preserve"> </w:t>
      </w:r>
      <w:r>
        <w:t xml:space="preserve">A short that exists only as long as the offsetting client long exists, and cannot be held independently.</w:t>
      </w:r>
    </w:p>
    <w:p>
      <w:pPr>
        <w:numPr>
          <w:ilvl w:val="0"/>
          <w:numId w:val="1001"/>
        </w:numPr>
        <w:pStyle w:val="Compact"/>
      </w:pPr>
      <w:r>
        <w:rPr>
          <w:bCs/>
          <w:b/>
        </w:rPr>
        <w:t xml:space="preserve">Financing spread received:</w:t>
      </w:r>
      <w:r>
        <w:t xml:space="preserve"> </w:t>
      </w:r>
      <w:r>
        <w:t xml:space="preserve">The margin above SOFR the long client pays you, which subsidizes your short carry.</w:t>
      </w:r>
    </w:p>
    <w:p>
      <w:pPr>
        <w:numPr>
          <w:ilvl w:val="0"/>
          <w:numId w:val="1001"/>
        </w:numPr>
        <w:pStyle w:val="Compact"/>
      </w:pPr>
      <w:r>
        <w:rPr>
          <w:bCs/>
          <w:b/>
        </w:rPr>
        <w:t xml:space="preserve">Market-making exemption:</w:t>
      </w:r>
      <w:r>
        <w:t xml:space="preserve"> </w:t>
      </w:r>
      <w:r>
        <w:t xml:space="preserve">The permission allowing residual inventory held to meet reasonably expected near-term client demand.</w:t>
      </w:r>
    </w:p>
    <w:p>
      <w:pPr>
        <w:numPr>
          <w:ilvl w:val="0"/>
          <w:numId w:val="1001"/>
        </w:numPr>
        <w:pStyle w:val="Compact"/>
      </w:pPr>
      <w:r>
        <w:rPr>
          <w:bCs/>
          <w:b/>
        </w:rPr>
        <w:t xml:space="preserve">Risk-mitigating hedging exemption:</w:t>
      </w:r>
      <w:r>
        <w:t xml:space="preserve"> </w:t>
      </w:r>
      <w:r>
        <w:t xml:space="preserve">The permission allowing positions that hedge identifiable existing exposures.</w:t>
      </w:r>
    </w:p>
    <w:p>
      <w:pPr>
        <w:numPr>
          <w:ilvl w:val="0"/>
          <w:numId w:val="1001"/>
        </w:numPr>
        <w:pStyle w:val="Compact"/>
      </w:pPr>
      <w:r>
        <w:rPr>
          <w:bCs/>
          <w:b/>
        </w:rPr>
        <w:t xml:space="preserve">Independent Amount:</w:t>
      </w:r>
      <w:r>
        <w:t xml:space="preserve"> </w:t>
      </w:r>
      <w:r>
        <w:t xml:space="preserve">Initial margin the client posts, cushioning gap risk before variation margin catches up.</w:t>
      </w:r>
    </w:p>
    <w:p>
      <w:pPr>
        <w:numPr>
          <w:ilvl w:val="0"/>
          <w:numId w:val="1001"/>
        </w:numPr>
        <w:pStyle w:val="Compact"/>
      </w:pPr>
      <w:r>
        <w:rPr>
          <w:bCs/>
          <w:b/>
        </w:rPr>
        <w:t xml:space="preserve">Information barrier:</w:t>
      </w:r>
      <w:r>
        <w:t xml:space="preserve"> </w:t>
      </w:r>
      <w:r>
        <w:t xml:space="preserve">The separation between the public-side desk and the agency or private side holding borrower information.</w:t>
      </w:r>
    </w:p>
    <w:bookmarkEnd w:id="59"/>
    <w:bookmarkStart w:id="60" w:name="to-confirm-before-committing-risk"/>
    <w:p>
      <w:pPr>
        <w:pStyle w:val="Heading2"/>
      </w:pPr>
      <w:r>
        <w:t xml:space="preserve">14.5 To Confirm Before Committing Risk</w:t>
      </w:r>
    </w:p>
    <w:p>
      <w:pPr>
        <w:numPr>
          <w:ilvl w:val="0"/>
          <w:numId w:val="1002"/>
        </w:numPr>
        <w:pStyle w:val="Compact"/>
      </w:pPr>
      <w:r>
        <w:t xml:space="preserve">Compliance sign-off on which permission the short sits under and the sizing consistent with it.</w:t>
      </w:r>
    </w:p>
    <w:p>
      <w:pPr>
        <w:numPr>
          <w:ilvl w:val="0"/>
          <w:numId w:val="1002"/>
        </w:numPr>
        <w:pStyle w:val="Compact"/>
      </w:pPr>
      <w:r>
        <w:t xml:space="preserve">Compliance sign-off that the information barrier is intact and the desk is on the public side for this name.</w:t>
      </w:r>
    </w:p>
    <w:p>
      <w:pPr>
        <w:numPr>
          <w:ilvl w:val="0"/>
          <w:numId w:val="1002"/>
        </w:numPr>
        <w:pStyle w:val="Compact"/>
      </w:pPr>
      <w:r>
        <w:t xml:space="preserve">The live loan mark, the financing spread the long client will pay, and the funding and capital inputs.</w:t>
      </w:r>
    </w:p>
    <w:p>
      <w:pPr>
        <w:numPr>
          <w:ilvl w:val="0"/>
          <w:numId w:val="1002"/>
        </w:numPr>
        <w:pStyle w:val="Compact"/>
      </w:pPr>
      <w:r>
        <w:t xml:space="preserve">The Independent Amount and variation-margin terms calibrated to loan gap behavior.</w:t>
      </w:r>
    </w:p>
    <w:p>
      <w:pPr>
        <w:numPr>
          <w:ilvl w:val="0"/>
          <w:numId w:val="1002"/>
        </w:numPr>
        <w:pStyle w:val="Compact"/>
      </w:pPr>
      <w:r>
        <w:t xml:space="preserve">The reference price source and dispute mechanics for the confirmation.</w:t>
      </w:r>
    </w:p>
    <w:p>
      <w:pPr>
        <w:numPr>
          <w:ilvl w:val="0"/>
          <w:numId w:val="1002"/>
        </w:numPr>
        <w:pStyle w:val="Compact"/>
      </w:pPr>
      <w:r>
        <w:t xml:space="preserve">Your name limit for GoodRx-specific spread risk and the plan for the short if the client unwinds the long.</w:t>
      </w:r>
    </w:p>
    <w:bookmarkEnd w:id="60"/>
    <w:bookmarkStart w:id="61" w:name="one-paragraph-summary"/>
    <w:p>
      <w:pPr>
        <w:pStyle w:val="Heading2"/>
      </w:pPr>
      <w:r>
        <w:t xml:space="preserve">14.6 One-Paragraph Summary</w:t>
      </w:r>
    </w:p>
    <w:p>
      <w:pPr>
        <w:pStyle w:val="FirstParagraph"/>
      </w:pPr>
      <w:r>
        <w:t xml:space="preserve">Taking the payer leg of a client-long total return swap makes you economically short the GoodRx loan on the swap, gaining if it cheapens or widens and losing if it richens or is taken out at par, and this is the cheapest way for you to hold that short because the long client pays you financing, giving a net carry of roughly negative 2.25% a year against about negative 5% for a standalone synthetic short, a saving close to the full bid-offer. The short is manufactured by the client’s long rather than by any independent ability to short the cash loan, which is why it is efficient but also contingent, existing only while the client’s long persists and coming off at the client’s discretion, with roll and replacement risk on the client leg that is least favorable exactly when you would most want to keep the position. The defensible uses are market-making the client-long flow and warehousing the residual, or hedging an existing long inventory position synthetically without selling the cash loan, while a naked directional short is the same trade mechanically but the one most exposed to the proprietary-trading rules, so the position must be placed under a market-making or risk-mitigating hedging permission, sized to demand or to the hedged risk, documented, and cleared with compliance, and it must clear the information barrier because the house is administrative agent and was an arranger on this loan. The attractive carry makes the short efficient once it is permitted, but it does not make an impermissible position permissible, and the full cost of holding it is the carry plus the counterparty capital, market-risk capital, and balance sheet it consumes, against which the expected payoff must clear.</w:t>
      </w:r>
    </w:p>
    <w:p>
      <w:r>
        <w:pict>
          <v:rect style="width:0;height:1.5pt" o:hralign="center" o:hrstd="t" o:hr="t"/>
        </w:pict>
      </w:r>
    </w:p>
    <w:p>
      <w:pPr>
        <w:pStyle w:val="FirstParagraph"/>
      </w:pPr>
      <w:r>
        <w:rPr>
          <w:iCs/>
          <w:i/>
        </w:rPr>
        <w:t xml:space="preserve">End of note. Position, carry, capital, and pricing figures are indicative and must be struck live with the desk, treasury, and compliance. The proprietary-trading and conflicts questions are determinations for legal and compliance under current rules and internal policy, not desk conclusions. The client-long and other-seat constructions are documented in the companion notes.</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GoodRx (GDRX) Term Loan TRS ��� The Dealer as Payer: Getting Short Through a Client's Long</dc:title>
  <dc:creator/>
  <cp:keywords/>
  <dcterms:created xsi:type="dcterms:W3CDTF">2026-07-13T14:13:59Z</dcterms:created>
  <dcterms:modified xsi:type="dcterms:W3CDTF">2026-07-13T14:13:59Z</dcterms:modified>
</cp:coreProperties>
</file>

<file path=docProps/custom.xml><?xml version="1.0" encoding="utf-8"?>
<Properties xmlns="http://schemas.openxmlformats.org/officeDocument/2006/custom-properties" xmlns:vt="http://schemas.openxmlformats.org/officeDocument/2006/docPropsVTypes"/>
</file>