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GoodRx (GDRX) First Lien Term Loan ��� Synthetic Short via Total Return Swap</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goodrx-holdings-inc.-nasdaq-gdrx"/>
    <w:p>
      <w:pPr>
        <w:pStyle w:val="Heading1"/>
      </w:pPr>
      <w:r>
        <w:t xml:space="preserve">GoodRx Holdings, Inc. (NASDAQ: GDRX)</w:t>
      </w:r>
    </w:p>
    <w:bookmarkStart w:id="21" w:name="X74e6fec23cf45733fe6527632728af870ca3edc"/>
    <w:p>
      <w:pPr>
        <w:pStyle w:val="Heading2"/>
      </w:pPr>
      <w:r>
        <w:t xml:space="preserve">Synthetic Short Credit Pitch | First Lien Term Loan due July 2029</w:t>
      </w:r>
    </w:p>
    <w:bookmarkStart w:id="20" w:name="X23fb6ab7aa2e03be1dffa511f86e30ee83ed662"/>
    <w:p>
      <w:pPr>
        <w:pStyle w:val="Heading3"/>
      </w:pPr>
      <w:r>
        <w:t xml:space="preserve">Expression: Short via Total Return Swap (client as Total Return Payer)</w:t>
      </w:r>
    </w:p>
    <w:p>
      <w:pPr>
        <w:pStyle w:val="FirstParagraph"/>
      </w:pPr>
      <w:r>
        <w:rPr>
          <w:bCs/>
          <w:b/>
        </w:rPr>
        <w:t xml:space="preserve">Prepared as an execution-oriented reference for shorting the GoodRx 2024 Term Loan synthetically.</w:t>
      </w:r>
      <w:r>
        <w:t xml:space="preserve"> </w:t>
      </w:r>
      <w:r>
        <w:t xml:space="preserve">The fundamental short case is established in the companion research note and is only recapped here. This document is about the structure and the trade. Because leveraged loans settle by assignment and cannot be readily borrowed, a cash short cannot be delivered and fails to settle, so the position is expressed synthetically through a total return swap. The client sells exposure to a loan it does not own, receives the short economics, and posts margin rather than funding principal. All loan marks, financing spreads, ratings, and SOFR levels are indicative and must be quoted live by the desk before execution. Data current through July 13, 2026.</w:t>
      </w:r>
    </w:p>
    <w:p>
      <w:r>
        <w:pict>
          <v:rect style="width:0;height:1.5pt" o:hralign="center" o:hrstd="t" o:hr="t"/>
        </w:pict>
      </w:r>
    </w:p>
    <w:bookmarkEnd w:id="20"/>
    <w:bookmarkEnd w:id="21"/>
    <w:bookmarkStart w:id="22" w:name="the-trade-summary-box"/>
    <w:p>
      <w:pPr>
        <w:pStyle w:val="Heading2"/>
      </w:pPr>
      <w:r>
        <w:t xml:space="preserve">THE TRADE (Summary Box)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Recommendation</w:t>
            </w:r>
          </w:p>
        </w:tc>
      </w:tr>
      <w:tr>
        <w:tc>
          <w:tcPr/>
          <w:p>
            <w:pPr>
              <w:pStyle w:val="Compact"/>
              <w:jc w:val="left"/>
            </w:pPr>
            <w:r>
              <w:rPr>
                <w:bCs/>
                <w:b/>
              </w:rPr>
              <w:t xml:space="preserve">Direction</w:t>
            </w:r>
          </w:p>
        </w:tc>
        <w:tc>
          <w:tcPr/>
          <w:p>
            <w:pPr>
              <w:pStyle w:val="Compact"/>
              <w:jc w:val="left"/>
            </w:pPr>
            <w:r>
              <w:t xml:space="preserve">Short (synthetic)</w:t>
            </w:r>
          </w:p>
        </w:tc>
      </w:tr>
      <w:tr>
        <w:tc>
          <w:tcPr/>
          <w:p>
            <w:pPr>
              <w:pStyle w:val="Compact"/>
              <w:jc w:val="left"/>
            </w:pPr>
            <w:r>
              <w:rPr>
                <w:bCs/>
                <w:b/>
              </w:rPr>
              <w:t xml:space="preserve">Structure</w:t>
            </w:r>
          </w:p>
        </w:tc>
        <w:tc>
          <w:tcPr/>
          <w:p>
            <w:pPr>
              <w:pStyle w:val="Compact"/>
              <w:jc w:val="left"/>
            </w:pPr>
            <w:r>
              <w:t xml:space="preserve">Single-name loan Total Return Swap. Client is the Total Return Payer, dealer is the Total Return Receiver.</w:t>
            </w:r>
          </w:p>
        </w:tc>
      </w:tr>
      <w:tr>
        <w:tc>
          <w:tcPr/>
          <w:p>
            <w:pPr>
              <w:pStyle w:val="Compact"/>
              <w:jc w:val="left"/>
            </w:pPr>
            <w:r>
              <w:rPr>
                <w:bCs/>
                <w:b/>
              </w:rPr>
              <w:t xml:space="preserve">Reference obligation</w:t>
            </w:r>
          </w:p>
        </w:tc>
        <w:tc>
          <w:tcPr/>
          <w:p>
            <w:pPr>
              <w:pStyle w:val="Compact"/>
              <w:jc w:val="left"/>
            </w:pPr>
            <w:r>
              <w:t xml:space="preserve">GoodRx, Inc. 2024 First Lien Term Loan due July 10, 2029, Term SOFR + 3.75%</w:t>
            </w:r>
          </w:p>
        </w:tc>
      </w:tr>
      <w:tr>
        <w:tc>
          <w:tcPr/>
          <w:p>
            <w:pPr>
              <w:pStyle w:val="Compact"/>
              <w:jc w:val="left"/>
            </w:pPr>
            <w:r>
              <w:rPr>
                <w:bCs/>
                <w:b/>
              </w:rPr>
              <w:t xml:space="preserve">What the client pays</w:t>
            </w:r>
          </w:p>
        </w:tc>
        <w:tc>
          <w:tcPr/>
          <w:p>
            <w:pPr>
              <w:pStyle w:val="Compact"/>
              <w:jc w:val="left"/>
            </w:pPr>
            <w:r>
              <w:t xml:space="preserve">The loan’s total return: periodic coupon plus any price appreciation</w:t>
            </w:r>
          </w:p>
        </w:tc>
      </w:tr>
      <w:tr>
        <w:tc>
          <w:tcPr/>
          <w:p>
            <w:pPr>
              <w:pStyle w:val="Compact"/>
              <w:jc w:val="left"/>
            </w:pPr>
            <w:r>
              <w:rPr>
                <w:bCs/>
                <w:b/>
              </w:rPr>
              <w:t xml:space="preserve">What the client receives</w:t>
            </w:r>
          </w:p>
        </w:tc>
        <w:tc>
          <w:tcPr/>
          <w:p>
            <w:pPr>
              <w:pStyle w:val="Compact"/>
              <w:jc w:val="left"/>
            </w:pPr>
            <w:r>
              <w:t xml:space="preserve">A financing leg (roughly Term SOFR minus a dealer financing spread) plus any price depreciation</w:t>
            </w:r>
          </w:p>
        </w:tc>
      </w:tr>
      <w:tr>
        <w:tc>
          <w:tcPr/>
          <w:p>
            <w:pPr>
              <w:pStyle w:val="Compact"/>
              <w:jc w:val="left"/>
            </w:pPr>
            <w:r>
              <w:rPr>
                <w:bCs/>
                <w:b/>
              </w:rPr>
              <w:t xml:space="preserve">Why synthetic</w:t>
            </w:r>
          </w:p>
        </w:tc>
        <w:tc>
          <w:tcPr/>
          <w:p>
            <w:pPr>
              <w:pStyle w:val="Compact"/>
              <w:jc w:val="left"/>
            </w:pPr>
            <w:r>
              <w:t xml:space="preserve">Loans do not settle like bonds and cannot be borrowed, so a cash short fails. The TRS transfers the economics with no assignment and no principal outlay.</w:t>
            </w:r>
          </w:p>
        </w:tc>
      </w:tr>
      <w:tr>
        <w:tc>
          <w:tcPr/>
          <w:p>
            <w:pPr>
              <w:pStyle w:val="Compact"/>
              <w:jc w:val="left"/>
            </w:pPr>
            <w:r>
              <w:rPr>
                <w:bCs/>
                <w:b/>
              </w:rPr>
              <w:t xml:space="preserve">Principal outlay</w:t>
            </w:r>
          </w:p>
        </w:tc>
        <w:tc>
          <w:tcPr/>
          <w:p>
            <w:pPr>
              <w:pStyle w:val="Compact"/>
              <w:jc w:val="left"/>
            </w:pPr>
            <w:r>
              <w:t xml:space="preserve">None. Client posts an Independent Amount (initial margin) of roughly 10-20% of notional plus daily variation margin under an ISDA and CSA.</w:t>
            </w:r>
          </w:p>
        </w:tc>
      </w:tr>
      <w:tr>
        <w:tc>
          <w:tcPr/>
          <w:p>
            <w:pPr>
              <w:pStyle w:val="Compact"/>
              <w:jc w:val="left"/>
            </w:pPr>
            <w:r>
              <w:rPr>
                <w:bCs/>
                <w:b/>
              </w:rPr>
              <w:t xml:space="preserve">Illustrative notional</w:t>
            </w:r>
          </w:p>
        </w:tc>
        <w:tc>
          <w:tcPr/>
          <w:p>
            <w:pPr>
              <w:pStyle w:val="Compact"/>
              <w:jc w:val="left"/>
            </w:pPr>
            <w:r>
              <w:t xml:space="preserve">USD 15,000,000, scalable subject to dealer capacity and single-name limits</w:t>
            </w:r>
          </w:p>
        </w:tc>
      </w:tr>
      <w:tr>
        <w:tc>
          <w:tcPr/>
          <w:p>
            <w:pPr>
              <w:pStyle w:val="Compact"/>
              <w:jc w:val="left"/>
            </w:pPr>
            <w:r>
              <w:rPr>
                <w:bCs/>
                <w:b/>
              </w:rPr>
              <w:t xml:space="preserve">Illustrative entry (reference price)</w:t>
            </w:r>
          </w:p>
        </w:tc>
        <w:tc>
          <w:tcPr/>
          <w:p>
            <w:pPr>
              <w:pStyle w:val="Compact"/>
              <w:jc w:val="left"/>
            </w:pPr>
            <w:r>
              <w:t xml:space="preserve">~98.75 (verify live; richer entry near par improves the short)</w:t>
            </w:r>
          </w:p>
        </w:tc>
      </w:tr>
      <w:tr>
        <w:tc>
          <w:tcPr/>
          <w:p>
            <w:pPr>
              <w:pStyle w:val="Compact"/>
              <w:jc w:val="left"/>
            </w:pPr>
            <w:r>
              <w:rPr>
                <w:bCs/>
                <w:b/>
              </w:rPr>
              <w:t xml:space="preserve">Net carry</w:t>
            </w:r>
          </w:p>
        </w:tc>
        <w:tc>
          <w:tcPr/>
          <w:p>
            <w:pPr>
              <w:pStyle w:val="Compact"/>
              <w:jc w:val="left"/>
            </w:pPr>
            <w:r>
              <w:t xml:space="preserve">Roughly negative 4.5% to 5.5% per year. The SOFR legs largely offset, so the true cost is the loan spread of 375bp plus the dealer financing spread, not the full 8% coupon.</w:t>
            </w:r>
          </w:p>
        </w:tc>
      </w:tr>
      <w:tr>
        <w:tc>
          <w:tcPr/>
          <w:p>
            <w:pPr>
              <w:pStyle w:val="Compact"/>
              <w:jc w:val="left"/>
            </w:pPr>
            <w:r>
              <w:rPr>
                <w:bCs/>
                <w:b/>
              </w:rPr>
              <w:t xml:space="preserve">Horizon</w:t>
            </w:r>
          </w:p>
        </w:tc>
        <w:tc>
          <w:tcPr/>
          <w:p>
            <w:pPr>
              <w:pStyle w:val="Compact"/>
              <w:jc w:val="left"/>
            </w:pPr>
            <w:r>
              <w:t xml:space="preserve">Structure a 12-18 month swap, but manage it as a 3-9 month tactical, catalyst-timed position with a hard time stop to cap carry bleed. Unwinds at market on notice.</w:t>
            </w:r>
          </w:p>
        </w:tc>
      </w:tr>
      <w:tr>
        <w:tc>
          <w:tcPr/>
          <w:p>
            <w:pPr>
              <w:pStyle w:val="Compact"/>
              <w:jc w:val="left"/>
            </w:pPr>
            <w:r>
              <w:rPr>
                <w:bCs/>
                <w:b/>
              </w:rPr>
              <w:t xml:space="preserve">Payoff shape</w:t>
            </w:r>
          </w:p>
        </w:tc>
        <w:tc>
          <w:tcPr/>
          <w:p>
            <w:pPr>
              <w:pStyle w:val="Compact"/>
              <w:jc w:val="left"/>
            </w:pPr>
            <w:r>
              <w:t xml:space="preserve">Convex and asymmetric. Carry is the premium you spend. You are paid if a catalyst forces a prompt, sizable spread-widening gap.</w:t>
            </w:r>
          </w:p>
        </w:tc>
      </w:tr>
      <w:tr>
        <w:tc>
          <w:tcPr/>
          <w:p>
            <w:pPr>
              <w:pStyle w:val="Compact"/>
              <w:jc w:val="left"/>
            </w:pPr>
            <w:r>
              <w:rPr>
                <w:bCs/>
                <w:b/>
              </w:rPr>
              <w:t xml:space="preserve">Primary risk</w:t>
            </w:r>
          </w:p>
        </w:tc>
        <w:tc>
          <w:tcPr/>
          <w:p>
            <w:pPr>
              <w:pStyle w:val="Compact"/>
              <w:jc w:val="left"/>
            </w:pPr>
            <w:r>
              <w:t xml:space="preserve">Negative carry grinding against a money-good loan that will not fall far, plus a par take-out via M&amp;A that repays the reference loan at 100.</w:t>
            </w:r>
          </w:p>
        </w:tc>
      </w:tr>
      <w:tr>
        <w:tc>
          <w:tcPr/>
          <w:p>
            <w:pPr>
              <w:pStyle w:val="Compact"/>
              <w:jc w:val="left"/>
            </w:pPr>
            <w:r>
              <w:rPr>
                <w:bCs/>
                <w:b/>
              </w:rPr>
              <w:t xml:space="preserve">Sizing logic</w:t>
            </w:r>
          </w:p>
        </w:tc>
        <w:tc>
          <w:tcPr/>
          <w:p>
            <w:pPr>
              <w:pStyle w:val="Compact"/>
              <w:jc w:val="left"/>
            </w:pPr>
            <w:r>
              <w:t xml:space="preserve">Treat carry as option premium. Size to the premium you will spend over the horizon, to dealer capacity, and to single-name limits. Enter near catalysts, not to sit.</w:t>
            </w:r>
          </w:p>
        </w:tc>
      </w:tr>
    </w:tbl>
    <w:p>
      <w:pPr>
        <w:pStyle w:val="BodyText"/>
      </w:pPr>
      <w:r>
        <w:t xml:space="preserve">The full construction, carry math, scenario P&amp;L, and an indicative term sheet are in Sections 4 through 8.</w:t>
      </w:r>
    </w:p>
    <w:p>
      <w:r>
        <w:pict>
          <v:rect style="width:0;height:1.5pt" o:hralign="center" o:hrstd="t" o:hr="t"/>
        </w:pict>
      </w:r>
    </w:p>
    <w:bookmarkEnd w:id="22"/>
    <w:bookmarkEnd w:id="23"/>
    <w:bookmarkStart w:id="28" w:name="executive-summary"/>
    <w:p>
      <w:pPr>
        <w:pStyle w:val="Heading1"/>
      </w:pPr>
      <w:r>
        <w:t xml:space="preserve">1. Executive Summary</w:t>
      </w:r>
    </w:p>
    <w:bookmarkStart w:id="24" w:name="what-this-trade-is"/>
    <w:p>
      <w:pPr>
        <w:pStyle w:val="Heading2"/>
      </w:pPr>
      <w:r>
        <w:t xml:space="preserve">1.1 What This Trade Is</w:t>
      </w:r>
    </w:p>
    <w:p>
      <w:pPr>
        <w:pStyle w:val="FirstParagraph"/>
      </w:pPr>
      <w:r>
        <w:t xml:space="preserve">This is a synthetic short of a first lien term loan, expressed through a total return swap in which the client is the total return payer. The client agrees to pay the dealer the total economic return of the reference loan, meaning the coupon it throws off and any increase in its price, and in exchange receives a financing rate on the notional and profits from any decline in the loan’s price. Economically the client is short the loan without ever owning, borrowing, or delivering it. No loan changes hands, no assignment settles, and no principal is funded. The client posts margin, and the mark-to-market flows back and forth as the loan price moves.</w:t>
      </w:r>
    </w:p>
    <w:p>
      <w:pPr>
        <w:pStyle w:val="BodyText"/>
      </w:pPr>
      <w:r>
        <w:t xml:space="preserve">The structure exists because you cannot short a leveraged loan the way you short a bond or a stock. Loans transfer by assignment through an agent, settlement is slow and administratively heavy, and there is no securities-lending market to borrow them. A naked sale of a loan you do not own simply fails to settle. The total return swap solves this by synthesizing the exposure off a reference price, which is exactly why a short view on a loan is almost always expressed this way on a desk.</w:t>
      </w:r>
    </w:p>
    <w:bookmarkEnd w:id="24"/>
    <w:bookmarkStart w:id="25" w:name="what-this-trade-is-not"/>
    <w:p>
      <w:pPr>
        <w:pStyle w:val="Heading2"/>
      </w:pPr>
      <w:r>
        <w:t xml:space="preserve">1.2 What This Trade Is Not</w:t>
      </w:r>
    </w:p>
    <w:p>
      <w:pPr>
        <w:pStyle w:val="FirstParagraph"/>
      </w:pPr>
      <w:r>
        <w:t xml:space="preserve">It is not a positive-carry trade and it is not a buy-and-hold short. The reference loan is money-good at roughly 1x net leverage with high recovery, so it will not fall far, and the client pays away the spread and a financing charge every month it holds the position. The honest framing is that carry is a premium you spend to own convex downside around specific catalysts. You win if the loan gaps wider reasonably promptly. You bleed if it grinds sideways. You lose if it is taken out at par. The whole discipline of the trade is entry timing, sizing the carry as premium, and a hard time stop.</w:t>
      </w:r>
    </w:p>
    <w:bookmarkEnd w:id="25"/>
    <w:bookmarkStart w:id="26" w:name="the-central-refinement-on-carry"/>
    <w:p>
      <w:pPr>
        <w:pStyle w:val="Heading2"/>
      </w:pPr>
      <w:r>
        <w:t xml:space="preserve">1.3 The Central Refinement on Carry</w:t>
      </w:r>
    </w:p>
    <w:p>
      <w:pPr>
        <w:pStyle w:val="FirstParagraph"/>
      </w:pPr>
      <w:r>
        <w:t xml:space="preserve">The most important structuring point, and the one most often gotten wrong, is that the carry cost of this short is not the loan’s 8% all-in coupon. In the swap, the client pays the loan’s coupon, which is Term SOFR plus 3.75%, and receives a financing leg based on Term SOFR. The two SOFR components largely offset. What remains is the loan’s credit spread of 375 basis points plus the dealer’s financing spread, which for a name that is difficult to source might be another 100 to 200 basis points. Net carry is therefore roughly 4.5% to 5.5% per year, not 8%. This materially changes the trade math and is the difference between a pitch that survives scrutiny and one that does not.</w:t>
      </w:r>
    </w:p>
    <w:bookmarkEnd w:id="26"/>
    <w:bookmarkStart w:id="27" w:name="why-now-honestly"/>
    <w:p>
      <w:pPr>
        <w:pStyle w:val="Heading2"/>
      </w:pPr>
      <w:r>
        <w:t xml:space="preserve">1.4 Why Now, Honestly</w:t>
      </w:r>
    </w:p>
    <w:p>
      <w:pPr>
        <w:pStyle w:val="FirstParagraph"/>
      </w:pPr>
      <w:r>
        <w:t xml:space="preserve">The timing is genuinely mixed, and a credible pitch says so. The fundamental case for spread widening is intact. The high-margin prescription-transactions core fell 24% year over year, Adjusted EBITDA is guided down in 2026, earnings quality is deteriorating as low-margin pass-through revenue replaces it, and the 375 spread pays nothing for the TrumpRx, antitrust, and refinancing tails. But sentiment has moved the wrong way for an immediate entry. The equity has rallied roughly 37% over ninety days, analysts raised 2026 estimates about 9% over three months, and the loan, already near par, has no reason to have cheapened. That argues for patience and for timing entry into a catalyst, most obviously the Q2 2026 print on August 5, rather than putting the short on to sit and pay carry into a rising tape.</w:t>
      </w:r>
    </w:p>
    <w:p>
      <w:r>
        <w:pict>
          <v:rect style="width:0;height:1.5pt" o:hralign="center" o:hrstd="t" o:hr="t"/>
        </w:pict>
      </w:r>
    </w:p>
    <w:bookmarkEnd w:id="27"/>
    <w:bookmarkEnd w:id="28"/>
    <w:bookmarkStart w:id="29" w:name="the-fundamental-short-case-recap"/>
    <w:p>
      <w:pPr>
        <w:pStyle w:val="Heading1"/>
      </w:pPr>
      <w:r>
        <w:t xml:space="preserve">2. The Fundamental Short Case (Recap)</w:t>
      </w:r>
    </w:p>
    <w:p>
      <w:pPr>
        <w:pStyle w:val="FirstParagraph"/>
      </w:pPr>
      <w:r>
        <w:t xml:space="preserve">The detailed version lives in the companion note. In brief, the reason to be short the credit is that the loan is priced for stability the business no longer has. Prescription transactions, the high-margin cash engine, fell 24% year over year in Q1 2026 and the decline has accelerated across four quarters. Monthly Active Consumers fell 17%. The offsetting growth in Pharma Direct is lower margin and working-capital heavy, which compressed consolidated Adjusted EBITDA margin by 440 basis points and inflated the balance sheet with a roughly 750 million dollar reimbursement gross-up. Headline EBITDA converts to free cash flow at only about 30% once capitalized software and cash interest are counted. Full-year 2026 guidance has revenue and Adjusted EBITDA declining together for the first time.</w:t>
      </w:r>
    </w:p>
    <w:p>
      <w:pPr>
        <w:pStyle w:val="BodyText"/>
      </w:pPr>
      <w:r>
        <w:t xml:space="preserve">On top of a structurally eroding, commoditizing business sit uncompensated tails. TrumpRx and most-favored-nation pricing commoditize the cash-price transparency that is GoodRx’s core value. An antitrust suit attacks the integrated savings program mechanism itself, not just a cash settlement. A privacy settlement remains open. The 375 spread compensates for none of this.</w:t>
      </w:r>
    </w:p>
    <w:p>
      <w:pPr>
        <w:pStyle w:val="BodyText"/>
      </w:pPr>
      <w:r>
        <w:t xml:space="preserve">The honest limit of the thesis is that the loan is money-good. At roughly 1x net and 1.9x gross leverage, with 236 million dollars of cash, positive free cash flow, no maturity until 2029, and a single first lien with high recovery, this is not a default trade. It is a spread-widening and mark-to-market trade. That is precisely why the expression matters so much. You are not waiting for a restructuring. You are renting downside convexity around catalysts, and the structure has to make that rentable at an acceptable cost.</w:t>
      </w:r>
    </w:p>
    <w:p>
      <w:r>
        <w:pict>
          <v:rect style="width:0;height:1.5pt" o:hralign="center" o:hrstd="t" o:hr="t"/>
        </w:pict>
      </w:r>
    </w:p>
    <w:bookmarkEnd w:id="29"/>
    <w:bookmarkStart w:id="30" w:name="X022aad386f31afc65ac82a71b7ced9b234306d1"/>
    <w:p>
      <w:pPr>
        <w:pStyle w:val="Heading1"/>
      </w:pPr>
      <w:r>
        <w:t xml:space="preserve">3. Why a Synthetic Short (The Settlement Problem)</w:t>
      </w:r>
    </w:p>
    <w:p>
      <w:pPr>
        <w:pStyle w:val="FirstParagraph"/>
      </w:pPr>
      <w:r>
        <w:t xml:space="preserve">The reason this trade must be synthetic is structural to the loan asset class, and it is worth being able to explain cleanly because it is the first thing a PM will test.</w:t>
      </w:r>
    </w:p>
    <w:p>
      <w:pPr>
        <w:pStyle w:val="BodyText"/>
      </w:pPr>
      <w:r>
        <w:t xml:space="preserve">Leveraged loans are not securities that clear through a central depository the way bonds and equities do. A loan position transfers by assignment, a bilateral process administered by the agent bank, documented with an assignment agreement, subject to borrower or agent consent in some cases, and settling on a timeline that routinely runs one to three weeks and sometimes far longer. There is no meaningful securities-lending market for loans, so you cannot borrow a loan to deliver against a sale. As a result, if you sell a loan you do not own, you cannot deliver it, and the trade simply fails to settle. It sits open as an unsettled short with no reliable path to delivery, which is not a position a desk will carry.</w:t>
      </w:r>
    </w:p>
    <w:p>
      <w:pPr>
        <w:pStyle w:val="BodyText"/>
      </w:pPr>
      <w:r>
        <w:t xml:space="preserve">The total return swap sidesteps all of this. It is a bilateral derivative that references the loan’s price and cash flows rather than requiring the loan to move. Nothing is assigned, nothing is delivered, and no principal is funded. The client and the dealer simply exchange the agreed cash flows over the life of the swap and mark the position to a reference price. This is why a short view on a specific loan is expressed through a TRS in essentially every institutional context, and why the description of the trade as unsettled, sold without ownership, and economic-only is an accurate description of the TRS itself.</w:t>
      </w:r>
    </w:p>
    <w:p>
      <w:pPr>
        <w:pStyle w:val="BodyText"/>
      </w:pPr>
      <w:r>
        <w:t xml:space="preserve">The one thing the client gives up by going synthetic is independence from a counterparty. The exposure now lives inside an ISDA relationship with a dealer, which brings documentation, margin, and counterparty considerations that a cash position would not. Those are covered in Section 9.</w:t>
      </w:r>
    </w:p>
    <w:p>
      <w:r>
        <w:pict>
          <v:rect style="width:0;height:1.5pt" o:hralign="center" o:hrstd="t" o:hr="t"/>
        </w:pict>
      </w:r>
    </w:p>
    <w:bookmarkEnd w:id="30"/>
    <w:bookmarkStart w:id="35" w:name="the-total-return-swap-mechanically"/>
    <w:p>
      <w:pPr>
        <w:pStyle w:val="Heading1"/>
      </w:pPr>
      <w:r>
        <w:t xml:space="preserve">4. The Total Return Swap, Mechanically</w:t>
      </w:r>
    </w:p>
    <w:bookmarkStart w:id="31" w:name="the-two-legs"/>
    <w:p>
      <w:pPr>
        <w:pStyle w:val="Heading2"/>
      </w:pPr>
      <w:r>
        <w:t xml:space="preserve">4.1 The Two Legs</w:t>
      </w:r>
    </w:p>
    <w:p>
      <w:pPr>
        <w:pStyle w:val="FirstParagraph"/>
      </w:pPr>
      <w:r>
        <w:t xml:space="preserve">A total return swap on a loan has two legs that exchange on periodic reset dates.</w:t>
      </w:r>
    </w:p>
    <w:p>
      <w:pPr>
        <w:pStyle w:val="BodyText"/>
      </w:pPr>
      <w:r>
        <w:t xml:space="preserve">The total return leg is the total economic performance of the reference loan. It has two components, the income component, which is the coupon the loan pays, being Term SOFR plus 3.75%, and the price component, which is the change in the loan’s mark between reset dates. In this trade the client pays the total return leg. The client pays the coupon away and pays any appreciation, and conversely receives any depreciation. This is what makes the client short. When the loan falls in price, the depreciation flows to the client.</w:t>
      </w:r>
    </w:p>
    <w:p>
      <w:pPr>
        <w:pStyle w:val="BodyText"/>
      </w:pPr>
      <w:r>
        <w:t xml:space="preserve">The financing leg is a floating funding rate applied to the notional, structured as Term SOFR adjusted by a financing spread. In this trade the client receives the financing leg. Because the client is the short and is effectively lending the synthetic proceeds to the structure, the client receives a SOFR-based rate, reduced by the dealer’s financing spread, which is the dealer’s charge for providing and hedging the short exposure.</w:t>
      </w:r>
    </w:p>
    <w:bookmarkEnd w:id="31"/>
    <w:bookmarkStart w:id="32" w:name="who-pays-what-netted"/>
    <w:p>
      <w:pPr>
        <w:pStyle w:val="Heading2"/>
      </w:pPr>
      <w:r>
        <w:t xml:space="preserve">4.2 Who Pays What, Netted</w:t>
      </w:r>
    </w:p>
    <w:p>
      <w:pPr>
        <w:pStyle w:val="FirstParagraph"/>
      </w:pPr>
      <w:r>
        <w:t xml:space="preserve">Putting the legs together, on each reset the client pays the loan coupon of Term SOFR plus 3.75%, pays or receives the price change, and receives Term SOFR minus a financing spread. The two SOFR terms offset. Ignoring the price component, the client’s net periodic cost is the 375 basis point loan spread plus the dealer financing spread. This is the carry, and it is the single most important number in the trade. It is developed fully in Section 6.</w:t>
      </w:r>
    </w:p>
    <w:bookmarkEnd w:id="32"/>
    <w:bookmarkStart w:id="33" w:name="the-price-component-and-mark-to-market"/>
    <w:p>
      <w:pPr>
        <w:pStyle w:val="Heading2"/>
      </w:pPr>
      <w:r>
        <w:t xml:space="preserve">4.3 The Price Component and Mark-to-Market</w:t>
      </w:r>
    </w:p>
    <w:p>
      <w:pPr>
        <w:pStyle w:val="FirstParagraph"/>
      </w:pPr>
      <w:r>
        <w:t xml:space="preserve">Between resets the position is marked to a reference price for the loan, typically sourced from a loan pricing service such as a Markit or LoanX composite, or from a dealer poll where a composite is thin. If the loan mark falls, the client, as payer of the total return, is owed the depreciation and receives variation margin. If the loan mark rises, the client owes the appreciation and posts variation margin. The reference price source matters, because loan marks are less continuous and less transparent than bond or equity prices, which introduces the possibility of stale or disputed marks. This is a real operational consideration and is addressed in Section 9.</w:t>
      </w:r>
    </w:p>
    <w:bookmarkEnd w:id="33"/>
    <w:bookmarkStart w:id="34" w:name="the-principal-point"/>
    <w:p>
      <w:pPr>
        <w:pStyle w:val="Heading2"/>
      </w:pPr>
      <w:r>
        <w:t xml:space="preserve">4.4 The Principal Point</w:t>
      </w:r>
    </w:p>
    <w:p>
      <w:pPr>
        <w:pStyle w:val="FirstParagraph"/>
      </w:pPr>
      <w:r>
        <w:t xml:space="preserve">At no stage does the client fund the notional. The client posts an Independent Amount, an initial margin negotiated in the Credit Support Annex, typically in the region of 10% to 20% of notional for a single-name loan TRS, and then posts or receives variation margin daily as the mark moves. This is the precise sense in which the client gets the economics without handing over principal. A 15 million dollar notional short might require an initial margin on the order of 2 to 3 million dollars, against which the client controls the full 15 million of economic exposure. The trade is therefore also a form of leverage, which is a benefit for capital efficiency and a risk that the margin framework is designed to manage.</w:t>
      </w:r>
    </w:p>
    <w:p>
      <w:r>
        <w:pict>
          <v:rect style="width:0;height:1.5pt" o:hralign="center" o:hrstd="t" o:hr="t"/>
        </w:pict>
      </w:r>
    </w:p>
    <w:bookmarkEnd w:id="34"/>
    <w:bookmarkEnd w:id="35"/>
    <w:bookmarkStart w:id="40" w:name="full-trade-construction"/>
    <w:p>
      <w:pPr>
        <w:pStyle w:val="Heading1"/>
      </w:pPr>
      <w:r>
        <w:t xml:space="preserve">5. Full Trade Construction</w:t>
      </w:r>
    </w:p>
    <w:bookmarkStart w:id="36" w:name="indicative-term-sheet"/>
    <w:p>
      <w:pPr>
        <w:pStyle w:val="Heading2"/>
      </w:pPr>
      <w:r>
        <w:t xml:space="preserve">5.1 Indicative Term Sheet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Indicative detail</w:t>
            </w:r>
          </w:p>
        </w:tc>
      </w:tr>
      <w:tr>
        <w:tc>
          <w:tcPr/>
          <w:p>
            <w:pPr>
              <w:pStyle w:val="Compact"/>
              <w:jc w:val="left"/>
            </w:pPr>
            <w:r>
              <w:t xml:space="preserve">Trade type</w:t>
            </w:r>
          </w:p>
        </w:tc>
        <w:tc>
          <w:tcPr/>
          <w:p>
            <w:pPr>
              <w:pStyle w:val="Compact"/>
              <w:jc w:val="left"/>
            </w:pPr>
            <w:r>
              <w:t xml:space="preserve">Single-name loan Total Return Swap</w:t>
            </w:r>
          </w:p>
        </w:tc>
      </w:tr>
      <w:tr>
        <w:tc>
          <w:tcPr/>
          <w:p>
            <w:pPr>
              <w:pStyle w:val="Compact"/>
              <w:jc w:val="left"/>
            </w:pPr>
            <w:r>
              <w:t xml:space="preserve">Reference obligation</w:t>
            </w:r>
          </w:p>
        </w:tc>
        <w:tc>
          <w:tcPr/>
          <w:p>
            <w:pPr>
              <w:pStyle w:val="Compact"/>
              <w:jc w:val="left"/>
            </w:pPr>
            <w:r>
              <w:t xml:space="preserve">GoodRx, Inc. 2024 First Lien Term Loan due July 10, 2029 (Term SOFR + 3.75%, 0% floor); confirm LX identifier and current outstanding</w:t>
            </w:r>
          </w:p>
        </w:tc>
      </w:tr>
      <w:tr>
        <w:tc>
          <w:tcPr/>
          <w:p>
            <w:pPr>
              <w:pStyle w:val="Compact"/>
              <w:jc w:val="left"/>
            </w:pPr>
            <w:r>
              <w:t xml:space="preserve">Client role</w:t>
            </w:r>
          </w:p>
        </w:tc>
        <w:tc>
          <w:tcPr/>
          <w:p>
            <w:pPr>
              <w:pStyle w:val="Compact"/>
              <w:jc w:val="left"/>
            </w:pPr>
            <w:r>
              <w:t xml:space="preserve">Total Return Payer (synthetic short)</w:t>
            </w:r>
          </w:p>
        </w:tc>
      </w:tr>
      <w:tr>
        <w:tc>
          <w:tcPr/>
          <w:p>
            <w:pPr>
              <w:pStyle w:val="Compact"/>
              <w:jc w:val="left"/>
            </w:pPr>
            <w:r>
              <w:t xml:space="preserve">Dealer role</w:t>
            </w:r>
          </w:p>
        </w:tc>
        <w:tc>
          <w:tcPr/>
          <w:p>
            <w:pPr>
              <w:pStyle w:val="Compact"/>
              <w:jc w:val="left"/>
            </w:pPr>
            <w:r>
              <w:t xml:space="preserve">Total Return Receiver</w:t>
            </w:r>
          </w:p>
        </w:tc>
      </w:tr>
      <w:tr>
        <w:tc>
          <w:tcPr/>
          <w:p>
            <w:pPr>
              <w:pStyle w:val="Compact"/>
              <w:jc w:val="left"/>
            </w:pPr>
            <w:r>
              <w:t xml:space="preserve">Notional</w:t>
            </w:r>
          </w:p>
        </w:tc>
        <w:tc>
          <w:tcPr/>
          <w:p>
            <w:pPr>
              <w:pStyle w:val="Compact"/>
              <w:jc w:val="left"/>
            </w:pPr>
            <w:r>
              <w:t xml:space="preserve">USD 15,000,000 (illustrative; scalable to dealer capacity and single-name limits)</w:t>
            </w:r>
          </w:p>
        </w:tc>
      </w:tr>
      <w:tr>
        <w:tc>
          <w:tcPr/>
          <w:p>
            <w:pPr>
              <w:pStyle w:val="Compact"/>
              <w:jc w:val="left"/>
            </w:pPr>
            <w:r>
              <w:t xml:space="preserve">Trade date / Effective date</w:t>
            </w:r>
          </w:p>
        </w:tc>
        <w:tc>
          <w:tcPr/>
          <w:p>
            <w:pPr>
              <w:pStyle w:val="Compact"/>
              <w:jc w:val="left"/>
            </w:pPr>
            <w:r>
              <w:t xml:space="preserve">T / T+2 to T+5 (loan reference conventions)</w:t>
            </w:r>
          </w:p>
        </w:tc>
      </w:tr>
      <w:tr>
        <w:tc>
          <w:tcPr/>
          <w:p>
            <w:pPr>
              <w:pStyle w:val="Compact"/>
              <w:jc w:val="left"/>
            </w:pPr>
            <w:r>
              <w:t xml:space="preserve">Scheduled termination</w:t>
            </w:r>
          </w:p>
        </w:tc>
        <w:tc>
          <w:tcPr/>
          <w:p>
            <w:pPr>
              <w:pStyle w:val="Compact"/>
              <w:jc w:val="left"/>
            </w:pPr>
            <w:r>
              <w:t xml:space="preserve">12 to 18 months from effective (illustrative 18 months)</w:t>
            </w:r>
          </w:p>
        </w:tc>
      </w:tr>
      <w:tr>
        <w:tc>
          <w:tcPr/>
          <w:p>
            <w:pPr>
              <w:pStyle w:val="Compact"/>
              <w:jc w:val="left"/>
            </w:pPr>
            <w:r>
              <w:t xml:space="preserve">Initial reference price</w:t>
            </w:r>
          </w:p>
        </w:tc>
        <w:tc>
          <w:tcPr/>
          <w:p>
            <w:pPr>
              <w:pStyle w:val="Compact"/>
              <w:jc w:val="left"/>
            </w:pPr>
            <w:r>
              <w:t xml:space="preserve">Traded loan mark at inception, illustratively 98.75 (verify live)</w:t>
            </w:r>
          </w:p>
        </w:tc>
      </w:tr>
      <w:tr>
        <w:tc>
          <w:tcPr/>
          <w:p>
            <w:pPr>
              <w:pStyle w:val="Compact"/>
              <w:jc w:val="left"/>
            </w:pPr>
            <w:r>
              <w:t xml:space="preserve">Total return leg (client pays)</w:t>
            </w:r>
          </w:p>
        </w:tc>
        <w:tc>
          <w:tcPr/>
          <w:p>
            <w:pPr>
              <w:pStyle w:val="Compact"/>
              <w:jc w:val="left"/>
            </w:pPr>
            <w:r>
              <w:t xml:space="preserve">Reference obligation coupon (Term SOFR + 3.75%) plus price appreciation; client receives price depreciation</w:t>
            </w:r>
          </w:p>
        </w:tc>
      </w:tr>
      <w:tr>
        <w:tc>
          <w:tcPr/>
          <w:p>
            <w:pPr>
              <w:pStyle w:val="Compact"/>
              <w:jc w:val="left"/>
            </w:pPr>
            <w:r>
              <w:t xml:space="preserve">Financing leg (client receives)</w:t>
            </w:r>
          </w:p>
        </w:tc>
        <w:tc>
          <w:tcPr/>
          <w:p>
            <w:pPr>
              <w:pStyle w:val="Compact"/>
              <w:jc w:val="left"/>
            </w:pPr>
            <w:r>
              <w:t xml:space="preserve">Term SOFR minus financing spread; financing spread illustratively 100 to 200 bps (dealer-quoted, name-specific)</w:t>
            </w:r>
          </w:p>
        </w:tc>
      </w:tr>
      <w:tr>
        <w:tc>
          <w:tcPr/>
          <w:p>
            <w:pPr>
              <w:pStyle w:val="Compact"/>
              <w:jc w:val="left"/>
            </w:pPr>
            <w:r>
              <w:t xml:space="preserve">Reset frequency</w:t>
            </w:r>
          </w:p>
        </w:tc>
        <w:tc>
          <w:tcPr/>
          <w:p>
            <w:pPr>
              <w:pStyle w:val="Compact"/>
              <w:jc w:val="left"/>
            </w:pPr>
            <w:r>
              <w:t xml:space="preserve">Monthly or quarterly for financing and interim price marks</w:t>
            </w:r>
          </w:p>
        </w:tc>
      </w:tr>
      <w:tr>
        <w:tc>
          <w:tcPr/>
          <w:p>
            <w:pPr>
              <w:pStyle w:val="Compact"/>
              <w:jc w:val="left"/>
            </w:pPr>
            <w:r>
              <w:t xml:space="preserve">Price source</w:t>
            </w:r>
          </w:p>
        </w:tc>
        <w:tc>
          <w:tcPr/>
          <w:p>
            <w:pPr>
              <w:pStyle w:val="Compact"/>
              <w:jc w:val="left"/>
            </w:pPr>
            <w:r>
              <w:t xml:space="preserve">Third-party loan pricing composite or agreed dealer poll</w:t>
            </w:r>
          </w:p>
        </w:tc>
      </w:tr>
      <w:tr>
        <w:tc>
          <w:tcPr/>
          <w:p>
            <w:pPr>
              <w:pStyle w:val="Compact"/>
              <w:jc w:val="left"/>
            </w:pPr>
            <w:r>
              <w:t xml:space="preserve">Documentation</w:t>
            </w:r>
          </w:p>
        </w:tc>
        <w:tc>
          <w:tcPr/>
          <w:p>
            <w:pPr>
              <w:pStyle w:val="Compact"/>
              <w:jc w:val="left"/>
            </w:pPr>
            <w:r>
              <w:t xml:space="preserve">ISDA Master Agreement plus Credit Support Annex</w:t>
            </w:r>
          </w:p>
        </w:tc>
      </w:tr>
      <w:tr>
        <w:tc>
          <w:tcPr/>
          <w:p>
            <w:pPr>
              <w:pStyle w:val="Compact"/>
              <w:jc w:val="left"/>
            </w:pPr>
            <w:r>
              <w:t xml:space="preserve">Collateral</w:t>
            </w:r>
          </w:p>
        </w:tc>
        <w:tc>
          <w:tcPr/>
          <w:p>
            <w:pPr>
              <w:pStyle w:val="Compact"/>
              <w:jc w:val="left"/>
            </w:pPr>
            <w:r>
              <w:t xml:space="preserve">Independent Amount roughly 10 to 20% of notional; daily variation margin</w:t>
            </w:r>
          </w:p>
        </w:tc>
      </w:tr>
      <w:tr>
        <w:tc>
          <w:tcPr/>
          <w:p>
            <w:pPr>
              <w:pStyle w:val="Compact"/>
              <w:jc w:val="left"/>
            </w:pPr>
            <w:r>
              <w:t xml:space="preserve">Early termination</w:t>
            </w:r>
          </w:p>
        </w:tc>
        <w:tc>
          <w:tcPr/>
          <w:p>
            <w:pPr>
              <w:pStyle w:val="Compact"/>
              <w:jc w:val="left"/>
            </w:pPr>
            <w:r>
              <w:t xml:space="preserve">At market value on notice; standard ISDA termination events</w:t>
            </w:r>
          </w:p>
        </w:tc>
      </w:tr>
      <w:tr>
        <w:tc>
          <w:tcPr/>
          <w:p>
            <w:pPr>
              <w:pStyle w:val="Compact"/>
              <w:jc w:val="left"/>
            </w:pPr>
            <w:r>
              <w:t xml:space="preserve">Governing law</w:t>
            </w:r>
          </w:p>
        </w:tc>
        <w:tc>
          <w:tcPr/>
          <w:p>
            <w:pPr>
              <w:pStyle w:val="Compact"/>
              <w:jc w:val="left"/>
            </w:pPr>
            <w:r>
              <w:t xml:space="preserve">As per ISDA Master</w:t>
            </w:r>
          </w:p>
        </w:tc>
      </w:tr>
    </w:tbl>
    <w:bookmarkEnd w:id="36"/>
    <w:bookmarkStart w:id="37" w:name="sizing-logic"/>
    <w:p>
      <w:pPr>
        <w:pStyle w:val="Heading2"/>
      </w:pPr>
      <w:r>
        <w:t xml:space="preserve">5.2 Sizing Logic</w:t>
      </w:r>
    </w:p>
    <w:p>
      <w:pPr>
        <w:pStyle w:val="FirstParagraph"/>
      </w:pPr>
      <w:r>
        <w:t xml:space="preserve">Size this position as if you are buying an option, because functionally you are. The carry you pay is the premium, and the convex downside if the loan gaps wider is the payoff. Three constraints bound the notional.</w:t>
      </w:r>
    </w:p>
    <w:p>
      <w:pPr>
        <w:pStyle w:val="BodyText"/>
      </w:pPr>
      <w:r>
        <w:t xml:space="preserve">The first is the carry budget. Decide how much you are willing to spend in carry over the intended holding period, expressed as a fraction of fund NAV, and back into notional from the net carry rate. If you will spend 50 basis points of a 500 million dollar fund, which is 2.5 million dollars, over a 12 month hold at a 5% net carry, that supports roughly 50 million of notional. Most books will want less than that on a single name, which leads to the second constraint.</w:t>
      </w:r>
    </w:p>
    <w:p>
      <w:pPr>
        <w:pStyle w:val="BodyText"/>
      </w:pPr>
      <w:r>
        <w:t xml:space="preserve">The second is the single-name risk limit. A tactical short on one loan should sit well inside a fund’s single-issuer limit, and because the payoff is capped by the loan being money-good, there is little reason to press size. An illustrative 10 to 20 million dollar notional is a sensible expression for a mid-sized credit book.</w:t>
      </w:r>
    </w:p>
    <w:p>
      <w:pPr>
        <w:pStyle w:val="BodyText"/>
      </w:pPr>
      <w:r>
        <w:t xml:space="preserve">The third is dealer capacity. The dealer providing the short-side swap must source or hedge the exposure, and for a name that is difficult to source the dealer may offer only limited notional or a wider financing spread. Size is therefore partly a function of what the desk can actually provide, which must be established in the quote.</w:t>
      </w:r>
    </w:p>
    <w:bookmarkEnd w:id="37"/>
    <w:bookmarkStart w:id="38" w:name="horizon-and-time-discipline"/>
    <w:p>
      <w:pPr>
        <w:pStyle w:val="Heading2"/>
      </w:pPr>
      <w:r>
        <w:t xml:space="preserve">5.3 Horizon and Time Discipline</w:t>
      </w:r>
    </w:p>
    <w:p>
      <w:pPr>
        <w:pStyle w:val="FirstParagraph"/>
      </w:pPr>
      <w:r>
        <w:t xml:space="preserve">Structure the swap with a 12 to 18 month scheduled termination for flexibility, but do not intend to hold it that long. Manage it as a 3 to 9 month tactical position built around a specific catalyst, with a hard time stop. If the catalyst passes without the loan re-rating wider, unwind at market to stop the carry bleed rather than paying premium into a thesis that is not working on the intended timeline. Because a TRS unwinds at market value on notice, you retain the ability to exit early and crystallize the mark. The single most common way this trade loses is not a wrong thesis, it is paying carry for too long waiting to be right.</w:t>
      </w:r>
    </w:p>
    <w:bookmarkEnd w:id="38"/>
    <w:bookmarkStart w:id="39" w:name="entry-discipline"/>
    <w:p>
      <w:pPr>
        <w:pStyle w:val="Heading2"/>
      </w:pPr>
      <w:r>
        <w:t xml:space="preserve">5.4 Entry Discipline</w:t>
      </w:r>
    </w:p>
    <w:p>
      <w:pPr>
        <w:pStyle w:val="FirstParagraph"/>
      </w:pPr>
      <w:r>
        <w:t xml:space="preserve">Enter close to a catalyst and prefer a rich entry near par. The higher the reference price at inception, the more room the loan has to fall and the better the risk-reward, so a loan trading at 99.5 into an earnings print is a better short entry than the same loan at 95 after it has already widened. Given the recent equity rally and the loan most likely sitting near par with no cheapening, the disciplined entry is into the August 5 Q2 print or a comparable catalyst, not immediately into a rising tape.</w:t>
      </w:r>
    </w:p>
    <w:p>
      <w:r>
        <w:pict>
          <v:rect style="width:0;height:1.5pt" o:hralign="center" o:hrstd="t" o:hr="t"/>
        </w:pict>
      </w:r>
    </w:p>
    <w:bookmarkEnd w:id="39"/>
    <w:bookmarkEnd w:id="40"/>
    <w:bookmarkStart w:id="44" w:name="carry-analysis"/>
    <w:p>
      <w:pPr>
        <w:pStyle w:val="Heading1"/>
      </w:pPr>
      <w:r>
        <w:t xml:space="preserve">6. Carry Analysis</w:t>
      </w:r>
    </w:p>
    <w:bookmarkStart w:id="41" w:name="the-correct-carry-number"/>
    <w:p>
      <w:pPr>
        <w:pStyle w:val="Heading2"/>
      </w:pPr>
      <w:r>
        <w:t xml:space="preserve">6.1 The Correct Carry Number</w:t>
      </w:r>
    </w:p>
    <w:p>
      <w:pPr>
        <w:pStyle w:val="FirstParagraph"/>
      </w:pPr>
      <w:r>
        <w:t xml:space="preserve">The carry on this short is the loan spread plus the dealer financing spread, not the loan’s all-in coupon. The client pays Term SOFR plus 3.75% on the total return leg and receives Term SOFR minus a financing spread on the financing leg. The SOFR terms cancel. What is left is a payment of 3.75% plus the financing spread. If the dealer financing spread is 125 basis points, net carry is 5.0% per year. If sourcing is easier and the spread is 100 basis points, net carry is 4.75%. If the name is hard to source and the spread is 200 basis points, net carry is 5.75%.</w:t>
      </w:r>
    </w:p>
    <w:p>
      <w:pPr>
        <w:pStyle w:val="BodyText"/>
      </w:pPr>
      <w:r>
        <w:t xml:space="preserve">This is the number to quote when challenged, and getting it right is what separates a credible structuring pitch from a naive one. A pitch that claims 8% negative carry has forgotten that the short receives SOFR back on the financing leg.</w:t>
      </w:r>
    </w:p>
    <w:bookmarkEnd w:id="41"/>
    <w:bookmarkStart w:id="42" w:name="carry-over-the-horizon"/>
    <w:p>
      <w:pPr>
        <w:pStyle w:val="Heading2"/>
      </w:pPr>
      <w:r>
        <w:t xml:space="preserve">6.2 Carry Over the Horizon</w:t>
      </w:r>
    </w:p>
    <w:p>
      <w:pPr>
        <w:pStyle w:val="FirstParagraph"/>
      </w:pPr>
      <w:r>
        <w:t xml:space="preserve">At a 5% net carry, the position costs approximately 0.42% of notional per month, 2.5% over six months, and 5% over a full year. On a 15 million dollar notional that is roughly 62,500 dollars per month. This is the premium clock, and it is why the time stop is central. Every month the loan does not move wider, the trade spends about four tenths of a point of notional. The price move required simply to break even scales with how long the position is held.</w:t>
      </w:r>
    </w:p>
    <w:bookmarkEnd w:id="42"/>
    <w:bookmarkStart w:id="43" w:name="X6e49b28a64946126b193a45da0d44fccb3cdd7c"/>
    <w:p>
      <w:pPr>
        <w:pStyle w:val="Heading2"/>
      </w:pPr>
      <w:r>
        <w:t xml:space="preserve">6.3 Breakeven and the Carry-Versus-Move Tension</w:t>
      </w:r>
    </w:p>
    <w:p>
      <w:pPr>
        <w:pStyle w:val="FirstParagraph"/>
      </w:pPr>
      <w:r>
        <w:t xml:space="preserve">The core tension of a money-good loan short is that the loan will not fall far, while the carry accrues steadily. To break even over a six month hold at 5% carry, the loan must fall about 2.5 points in price. To break even over eighteen months it must fall about 7.5 points, which for a money-good first lien is a substantial move that generally requires a genuine deterioration or a going-concern scare. This is precisely why the trade must be catalyst-timed and time-stopped. A prompt 6 to 8 point gap on a bad print pays handsomely against a small carry cost. A slow grind pays carry and delivers little.</w:t>
      </w:r>
    </w:p>
    <w:p>
      <w:r>
        <w:pict>
          <v:rect style="width:0;height:1.5pt" o:hralign="center" o:hrstd="t" o:hr="t"/>
        </w:pict>
      </w:r>
    </w:p>
    <w:bookmarkEnd w:id="43"/>
    <w:bookmarkEnd w:id="44"/>
    <w:bookmarkStart w:id="45" w:name="scenario-pl"/>
    <w:p>
      <w:pPr>
        <w:pStyle w:val="Heading1"/>
      </w:pPr>
      <w:r>
        <w:t xml:space="preserve">7. Scenario P&amp;L</w:t>
      </w:r>
    </w:p>
    <w:p>
      <w:pPr>
        <w:pStyle w:val="FirstParagraph"/>
      </w:pPr>
      <w:r>
        <w:t xml:space="preserve">The table below models the short on a 15 million dollar notional, entry reference price 98.75, net carry 5% per year. Price P&amp;L to the short is positive when the loan falls. Carry is the premium paid over the holding period. Figures are illustrative and depend entirely on the live mark, financing spread, and realized path.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Scenario</w:t>
            </w:r>
          </w:p>
        </w:tc>
        <w:tc>
          <w:tcPr/>
          <w:p>
            <w:pPr>
              <w:pStyle w:val="Compact"/>
              <w:jc w:val="left"/>
            </w:pPr>
            <w:r>
              <w:t xml:space="preserve">Horizon</w:t>
            </w:r>
          </w:p>
        </w:tc>
        <w:tc>
          <w:tcPr/>
          <w:p>
            <w:pPr>
              <w:pStyle w:val="Compact"/>
              <w:jc w:val="left"/>
            </w:pPr>
            <w:r>
              <w:t xml:space="preserve">Loan path</w:t>
            </w:r>
          </w:p>
        </w:tc>
        <w:tc>
          <w:tcPr/>
          <w:p>
            <w:pPr>
              <w:pStyle w:val="Compact"/>
              <w:jc w:val="left"/>
            </w:pPr>
            <w:r>
              <w:t xml:space="preserve">Price move to short</w:t>
            </w:r>
          </w:p>
        </w:tc>
        <w:tc>
          <w:tcPr/>
          <w:p>
            <w:pPr>
              <w:pStyle w:val="Compact"/>
              <w:jc w:val="left"/>
            </w:pPr>
            <w:r>
              <w:t xml:space="preserve">Price P&amp;L</w:t>
            </w:r>
          </w:p>
        </w:tc>
        <w:tc>
          <w:tcPr/>
          <w:p>
            <w:pPr>
              <w:pStyle w:val="Compact"/>
              <w:jc w:val="left"/>
            </w:pPr>
            <w:r>
              <w:t xml:space="preserve">Carry P&amp;L</w:t>
            </w:r>
          </w:p>
        </w:tc>
        <w:tc>
          <w:tcPr/>
          <w:p>
            <w:pPr>
              <w:pStyle w:val="Compact"/>
              <w:jc w:val="left"/>
            </w:pPr>
            <w:r>
              <w:t xml:space="preserve">Net P&amp;L</w:t>
            </w:r>
          </w:p>
        </w:tc>
        <w:tc>
          <w:tcPr/>
          <w:p>
            <w:pPr>
              <w:pStyle w:val="Compact"/>
              <w:jc w:val="left"/>
            </w:pPr>
            <w:r>
              <w:t xml:space="preserve">Net % of notional</w:t>
            </w:r>
          </w:p>
        </w:tc>
      </w:tr>
      <w:tr>
        <w:tc>
          <w:tcPr/>
          <w:p>
            <w:pPr>
              <w:pStyle w:val="Compact"/>
              <w:jc w:val="left"/>
            </w:pPr>
            <w:r>
              <w:rPr>
                <w:bCs/>
                <w:b/>
              </w:rPr>
              <w:t xml:space="preserve">Catalyst gap (bull)</w:t>
            </w:r>
          </w:p>
        </w:tc>
        <w:tc>
          <w:tcPr/>
          <w:p>
            <w:pPr>
              <w:pStyle w:val="Compact"/>
              <w:jc w:val="left"/>
            </w:pPr>
            <w:r>
              <w:t xml:space="preserve">6 mo</w:t>
            </w:r>
          </w:p>
        </w:tc>
        <w:tc>
          <w:tcPr/>
          <w:p>
            <w:pPr>
              <w:pStyle w:val="Compact"/>
              <w:jc w:val="left"/>
            </w:pPr>
            <w:r>
              <w:t xml:space="preserve">98.75 → 91.0</w:t>
            </w:r>
          </w:p>
        </w:tc>
        <w:tc>
          <w:tcPr/>
          <w:p>
            <w:pPr>
              <w:pStyle w:val="Compact"/>
              <w:jc w:val="left"/>
            </w:pPr>
            <w:r>
              <w:t xml:space="preserve">+7.75 pts</w:t>
            </w:r>
          </w:p>
        </w:tc>
        <w:tc>
          <w:tcPr/>
          <w:p>
            <w:pPr>
              <w:pStyle w:val="Compact"/>
              <w:jc w:val="left"/>
            </w:pPr>
            <w:r>
              <w:t xml:space="preserve">+$1.163M</w:t>
            </w:r>
          </w:p>
        </w:tc>
        <w:tc>
          <w:tcPr/>
          <w:p>
            <w:pPr>
              <w:pStyle w:val="Compact"/>
              <w:jc w:val="left"/>
            </w:pPr>
            <w:r>
              <w:t xml:space="preserve">-$375k</w:t>
            </w:r>
          </w:p>
        </w:tc>
        <w:tc>
          <w:tcPr/>
          <w:p>
            <w:pPr>
              <w:pStyle w:val="Compact"/>
              <w:jc w:val="left"/>
            </w:pPr>
            <w:r>
              <w:rPr>
                <w:bCs/>
                <w:b/>
              </w:rPr>
              <w:t xml:space="preserve">+$788k</w:t>
            </w:r>
          </w:p>
        </w:tc>
        <w:tc>
          <w:tcPr/>
          <w:p>
            <w:pPr>
              <w:pStyle w:val="Compact"/>
              <w:jc w:val="left"/>
            </w:pPr>
            <w:r>
              <w:rPr>
                <w:bCs/>
                <w:b/>
              </w:rPr>
              <w:t xml:space="preserve">+5.3%</w:t>
            </w:r>
          </w:p>
        </w:tc>
      </w:tr>
      <w:tr>
        <w:tc>
          <w:tcPr/>
          <w:p>
            <w:pPr>
              <w:pStyle w:val="Compact"/>
              <w:jc w:val="left"/>
            </w:pPr>
            <w:r>
              <w:rPr>
                <w:bCs/>
                <w:b/>
              </w:rPr>
              <w:t xml:space="preserve">Severe / going-concern scare</w:t>
            </w:r>
          </w:p>
        </w:tc>
        <w:tc>
          <w:tcPr/>
          <w:p>
            <w:pPr>
              <w:pStyle w:val="Compact"/>
              <w:jc w:val="left"/>
            </w:pPr>
            <w:r>
              <w:t xml:space="preserve">12 mo</w:t>
            </w:r>
          </w:p>
        </w:tc>
        <w:tc>
          <w:tcPr/>
          <w:p>
            <w:pPr>
              <w:pStyle w:val="Compact"/>
              <w:jc w:val="left"/>
            </w:pPr>
            <w:r>
              <w:t xml:space="preserve">98.75 → 85.0</w:t>
            </w:r>
          </w:p>
        </w:tc>
        <w:tc>
          <w:tcPr/>
          <w:p>
            <w:pPr>
              <w:pStyle w:val="Compact"/>
              <w:jc w:val="left"/>
            </w:pPr>
            <w:r>
              <w:t xml:space="preserve">+13.75 pts</w:t>
            </w:r>
          </w:p>
        </w:tc>
        <w:tc>
          <w:tcPr/>
          <w:p>
            <w:pPr>
              <w:pStyle w:val="Compact"/>
              <w:jc w:val="left"/>
            </w:pPr>
            <w:r>
              <w:t xml:space="preserve">+$2.063M</w:t>
            </w:r>
          </w:p>
        </w:tc>
        <w:tc>
          <w:tcPr/>
          <w:p>
            <w:pPr>
              <w:pStyle w:val="Compact"/>
              <w:jc w:val="left"/>
            </w:pPr>
            <w:r>
              <w:t xml:space="preserve">-$750k</w:t>
            </w:r>
          </w:p>
        </w:tc>
        <w:tc>
          <w:tcPr/>
          <w:p>
            <w:pPr>
              <w:pStyle w:val="Compact"/>
              <w:jc w:val="left"/>
            </w:pPr>
            <w:r>
              <w:rPr>
                <w:bCs/>
                <w:b/>
              </w:rPr>
              <w:t xml:space="preserve">+$1.313M</w:t>
            </w:r>
          </w:p>
        </w:tc>
        <w:tc>
          <w:tcPr/>
          <w:p>
            <w:pPr>
              <w:pStyle w:val="Compact"/>
              <w:jc w:val="left"/>
            </w:pPr>
            <w:r>
              <w:rPr>
                <w:bCs/>
                <w:b/>
              </w:rPr>
              <w:t xml:space="preserve">+8.8%</w:t>
            </w:r>
          </w:p>
        </w:tc>
      </w:tr>
      <w:tr>
        <w:tc>
          <w:tcPr/>
          <w:p>
            <w:pPr>
              <w:pStyle w:val="Compact"/>
              <w:jc w:val="left"/>
            </w:pPr>
            <w:r>
              <w:rPr>
                <w:bCs/>
                <w:b/>
              </w:rPr>
              <w:t xml:space="preserve">Base grind</w:t>
            </w:r>
          </w:p>
        </w:tc>
        <w:tc>
          <w:tcPr/>
          <w:p>
            <w:pPr>
              <w:pStyle w:val="Compact"/>
              <w:jc w:val="left"/>
            </w:pPr>
            <w:r>
              <w:t xml:space="preserve">18 mo</w:t>
            </w:r>
          </w:p>
        </w:tc>
        <w:tc>
          <w:tcPr/>
          <w:p>
            <w:pPr>
              <w:pStyle w:val="Compact"/>
              <w:jc w:val="left"/>
            </w:pPr>
            <w:r>
              <w:t xml:space="preserve">98.75 → 94.5</w:t>
            </w:r>
          </w:p>
        </w:tc>
        <w:tc>
          <w:tcPr/>
          <w:p>
            <w:pPr>
              <w:pStyle w:val="Compact"/>
              <w:jc w:val="left"/>
            </w:pPr>
            <w:r>
              <w:t xml:space="preserve">+4.25 pts</w:t>
            </w:r>
          </w:p>
        </w:tc>
        <w:tc>
          <w:tcPr/>
          <w:p>
            <w:pPr>
              <w:pStyle w:val="Compact"/>
              <w:jc w:val="left"/>
            </w:pPr>
            <w:r>
              <w:t xml:space="preserve">+$637k</w:t>
            </w:r>
          </w:p>
        </w:tc>
        <w:tc>
          <w:tcPr/>
          <w:p>
            <w:pPr>
              <w:pStyle w:val="Compact"/>
              <w:jc w:val="left"/>
            </w:pPr>
            <w:r>
              <w:t xml:space="preserve">-$1.125M</w:t>
            </w:r>
          </w:p>
        </w:tc>
        <w:tc>
          <w:tcPr/>
          <w:p>
            <w:pPr>
              <w:pStyle w:val="Compact"/>
              <w:jc w:val="left"/>
            </w:pPr>
            <w:r>
              <w:rPr>
                <w:bCs/>
                <w:b/>
              </w:rPr>
              <w:t xml:space="preserve">-$488k</w:t>
            </w:r>
          </w:p>
        </w:tc>
        <w:tc>
          <w:tcPr/>
          <w:p>
            <w:pPr>
              <w:pStyle w:val="Compact"/>
              <w:jc w:val="left"/>
            </w:pPr>
            <w:r>
              <w:rPr>
                <w:bCs/>
                <w:b/>
              </w:rPr>
              <w:t xml:space="preserve">-3.3%</w:t>
            </w:r>
          </w:p>
        </w:tc>
      </w:tr>
      <w:tr>
        <w:tc>
          <w:tcPr/>
          <w:p>
            <w:pPr>
              <w:pStyle w:val="Compact"/>
              <w:jc w:val="left"/>
            </w:pPr>
            <w:r>
              <w:rPr>
                <w:bCs/>
                <w:b/>
              </w:rPr>
              <w:t xml:space="preserve">Sideways (thesis stalls)</w:t>
            </w:r>
          </w:p>
        </w:tc>
        <w:tc>
          <w:tcPr/>
          <w:p>
            <w:pPr>
              <w:pStyle w:val="Compact"/>
              <w:jc w:val="left"/>
            </w:pPr>
            <w:r>
              <w:t xml:space="preserve">12 mo</w:t>
            </w:r>
          </w:p>
        </w:tc>
        <w:tc>
          <w:tcPr/>
          <w:p>
            <w:pPr>
              <w:pStyle w:val="Compact"/>
              <w:jc w:val="left"/>
            </w:pPr>
            <w:r>
              <w:t xml:space="preserve">98.75 → 98.75</w:t>
            </w:r>
          </w:p>
        </w:tc>
        <w:tc>
          <w:tcPr/>
          <w:p>
            <w:pPr>
              <w:pStyle w:val="Compact"/>
              <w:jc w:val="left"/>
            </w:pPr>
            <w:r>
              <w:t xml:space="preserve">0</w:t>
            </w:r>
          </w:p>
        </w:tc>
        <w:tc>
          <w:tcPr/>
          <w:p>
            <w:pPr>
              <w:pStyle w:val="Compact"/>
              <w:jc w:val="left"/>
            </w:pPr>
            <w:r>
              <w:t xml:space="preserve">$0</w:t>
            </w:r>
          </w:p>
        </w:tc>
        <w:tc>
          <w:tcPr/>
          <w:p>
            <w:pPr>
              <w:pStyle w:val="Compact"/>
              <w:jc w:val="left"/>
            </w:pPr>
            <w:r>
              <w:t xml:space="preserve">-$750k</w:t>
            </w:r>
          </w:p>
        </w:tc>
        <w:tc>
          <w:tcPr/>
          <w:p>
            <w:pPr>
              <w:pStyle w:val="Compact"/>
              <w:jc w:val="left"/>
            </w:pPr>
            <w:r>
              <w:rPr>
                <w:bCs/>
                <w:b/>
              </w:rPr>
              <w:t xml:space="preserve">-$750k</w:t>
            </w:r>
          </w:p>
        </w:tc>
        <w:tc>
          <w:tcPr/>
          <w:p>
            <w:pPr>
              <w:pStyle w:val="Compact"/>
              <w:jc w:val="left"/>
            </w:pPr>
            <w:r>
              <w:rPr>
                <w:bCs/>
                <w:b/>
              </w:rPr>
              <w:t xml:space="preserve">-5.0%</w:t>
            </w:r>
          </w:p>
        </w:tc>
      </w:tr>
      <w:tr>
        <w:tc>
          <w:tcPr/>
          <w:p>
            <w:pPr>
              <w:pStyle w:val="Compact"/>
              <w:jc w:val="left"/>
            </w:pPr>
            <w:r>
              <w:rPr>
                <w:bCs/>
                <w:b/>
              </w:rPr>
              <w:t xml:space="preserve">Par take-out (M&amp;A)</w:t>
            </w:r>
          </w:p>
        </w:tc>
        <w:tc>
          <w:tcPr/>
          <w:p>
            <w:pPr>
              <w:pStyle w:val="Compact"/>
              <w:jc w:val="left"/>
            </w:pPr>
            <w:r>
              <w:t xml:space="preserve">12 mo</w:t>
            </w:r>
          </w:p>
        </w:tc>
        <w:tc>
          <w:tcPr/>
          <w:p>
            <w:pPr>
              <w:pStyle w:val="Compact"/>
              <w:jc w:val="left"/>
            </w:pPr>
            <w:r>
              <w:t xml:space="preserve">98.75 → 100.0</w:t>
            </w:r>
          </w:p>
        </w:tc>
        <w:tc>
          <w:tcPr/>
          <w:p>
            <w:pPr>
              <w:pStyle w:val="Compact"/>
              <w:jc w:val="left"/>
            </w:pPr>
            <w:r>
              <w:t xml:space="preserve">-1.25 pts</w:t>
            </w:r>
          </w:p>
        </w:tc>
        <w:tc>
          <w:tcPr/>
          <w:p>
            <w:pPr>
              <w:pStyle w:val="Compact"/>
              <w:jc w:val="left"/>
            </w:pPr>
            <w:r>
              <w:t xml:space="preserve">-$188k</w:t>
            </w:r>
          </w:p>
        </w:tc>
        <w:tc>
          <w:tcPr/>
          <w:p>
            <w:pPr>
              <w:pStyle w:val="Compact"/>
              <w:jc w:val="left"/>
            </w:pPr>
            <w:r>
              <w:t xml:space="preserve">-$750k</w:t>
            </w:r>
          </w:p>
        </w:tc>
        <w:tc>
          <w:tcPr/>
          <w:p>
            <w:pPr>
              <w:pStyle w:val="Compact"/>
              <w:jc w:val="left"/>
            </w:pPr>
            <w:r>
              <w:rPr>
                <w:bCs/>
                <w:b/>
              </w:rPr>
              <w:t xml:space="preserve">-$938k</w:t>
            </w:r>
          </w:p>
        </w:tc>
        <w:tc>
          <w:tcPr/>
          <w:p>
            <w:pPr>
              <w:pStyle w:val="Compact"/>
              <w:jc w:val="left"/>
            </w:pPr>
            <w:r>
              <w:rPr>
                <w:bCs/>
                <w:b/>
              </w:rPr>
              <w:t xml:space="preserve">-6.3%</w:t>
            </w:r>
          </w:p>
        </w:tc>
      </w:tr>
    </w:tbl>
    <w:p>
      <w:pPr>
        <w:pStyle w:val="BodyText"/>
      </w:pPr>
      <w:r>
        <w:t xml:space="preserve">The distribution tells the honest story. The trade is convex and asymmetric, but the asymmetry only pays if the loan moves wider promptly. A fast catalyst gap earns a multiple of the carry spent. A slow grind or a stall loses the carry. A par take-out is the worst outcome and loses carry plus the pull to par. The job of the structure and the discipline is to maximize time spent near catalysts and minimize time spent grinding, which is what the time stop, the catalyst-timed entry, and the rich entry price all serve.</w:t>
      </w:r>
    </w:p>
    <w:p>
      <w:pPr>
        <w:pStyle w:val="BodyText"/>
      </w:pPr>
      <w:r>
        <w:t xml:space="preserve">The practical implication is that this is a position you put on for a defined window, not one you hold open-endedly. If you cannot identify a catalyst inside the next few months, the correct action is to wait rather than to pay carry into dead time.</w:t>
      </w:r>
    </w:p>
    <w:p>
      <w:r>
        <w:pict>
          <v:rect style="width:0;height:1.5pt" o:hralign="center" o:hrstd="t" o:hr="t"/>
        </w:pict>
      </w:r>
    </w:p>
    <w:bookmarkEnd w:id="45"/>
    <w:bookmarkStart w:id="46" w:name="alternative-expressions"/>
    <w:p>
      <w:pPr>
        <w:pStyle w:val="Heading1"/>
      </w:pPr>
      <w:r>
        <w:t xml:space="preserve">8. Alternative Expressions</w:t>
      </w:r>
    </w:p>
    <w:p>
      <w:pPr>
        <w:pStyle w:val="FirstParagraph"/>
      </w:pPr>
      <w:r>
        <w:t xml:space="preserve">The total return swap is the primary and cleanest expression, but a complete pitch acknowledges the alternatives and why they are secondary here.</w:t>
      </w:r>
    </w:p>
    <w:p>
      <w:pPr>
        <w:pStyle w:val="BodyText"/>
      </w:pPr>
      <w:r>
        <w:t xml:space="preserve">A single-name loan credit default swap would in principle let you buy protection on the loan, but the single-name loan CDS market is largely dormant and illiquid, so a two-way market in GoodRx protection effectively does not exist. This is not a usable expression at size.</w:t>
      </w:r>
    </w:p>
    <w:p>
      <w:pPr>
        <w:pStyle w:val="BodyText"/>
      </w:pPr>
      <w:r>
        <w:t xml:space="preserve">A broad high-yield or loan index short, through a liquid credit index, gives you a macro credit-widening overlay but no idiosyncratic GoodRx exposure. It is useful only as a market hedge layered under the single-name view, not as the trade itself, and it introduces basis to the specific thesis.</w:t>
      </w:r>
    </w:p>
    <w:p>
      <w:pPr>
        <w:pStyle w:val="BodyText"/>
      </w:pPr>
      <w:r>
        <w:t xml:space="preserve">Shorting the equity is the most liquid proxy and is genuinely correlated, since GDRX equity is borrowable and directionally aligned with a deteriorating fundamental story. It is a reasonable way to express the same fundamental view with more liquidity and, notably, positive-to-neutral carry compared with the loan short. Its drawback is that it is a different instrument with far higher beta and its own equity-specific drivers, including the recent 37% rally, so it is not a clean expression of the credit-spread thesis. It is best used either as a liquid proxy when swap capacity is constrained or as a component of a pair.</w:t>
      </w:r>
    </w:p>
    <w:p>
      <w:pPr>
        <w:pStyle w:val="BodyText"/>
      </w:pPr>
      <w:r>
        <w:t xml:space="preserve">A pair trade, shorting GoodRx via the TRS while going long a stable single-B first lien of similar spread, is the most defensible institutional construction. It isolates the GoodRx-specific deterioration, hedges broad loan-market beta, and reduces net carry because the long leg’s coupon offsets part of the short leg’s carry. For a book that wants the cleanest risk-adjusted expression of the view, the pair is often better than the outright synthetic short.</w:t>
      </w:r>
    </w:p>
    <w:p>
      <w:r>
        <w:pict>
          <v:rect style="width:0;height:1.5pt" o:hralign="center" o:hrstd="t" o:hr="t"/>
        </w:pict>
      </w:r>
    </w:p>
    <w:bookmarkEnd w:id="46"/>
    <w:bookmarkStart w:id="47" w:name="X2a10c9b5b80c00afe32e6619c8c09c4b82b5665"/>
    <w:p>
      <w:pPr>
        <w:pStyle w:val="Heading1"/>
      </w:pPr>
      <w:r>
        <w:t xml:space="preserve">9. Counterparty, Documentation, and Operational Considerations</w:t>
      </w:r>
    </w:p>
    <w:p>
      <w:pPr>
        <w:pStyle w:val="FirstParagraph"/>
      </w:pPr>
      <w:r>
        <w:t xml:space="preserve">The move to a synthetic expression introduces considerations a cash position would not have, and a desk will expect these to be addressed.</w:t>
      </w:r>
    </w:p>
    <w:p>
      <w:pPr>
        <w:pStyle w:val="BodyText"/>
      </w:pPr>
      <w:r>
        <w:t xml:space="preserve">The trade lives under an ISDA Master Agreement and a Credit Support Annex with the dealer counterparty. The ISDA governs the swap terms and the events of default and termination. The CSA governs collateral, including the Independent Amount and the daily variation margin, the eligible collateral, thresholds, and minimum transfer amounts. Before the trade can be done, the ISDA and CSA must be in place, which is a gating item for a first-time counterparty relationship.</w:t>
      </w:r>
    </w:p>
    <w:p>
      <w:pPr>
        <w:pStyle w:val="BodyText"/>
      </w:pPr>
      <w:r>
        <w:t xml:space="preserve">Counterparty credit risk runs to the dealer. Because the client posts collateral and receives variation margin, the client’s exposure to the dealer is largely collateralized, but the client should still be comfortable with the dealer’s credit and with the CSA terms that govern how quickly collateral moves.</w:t>
      </w:r>
    </w:p>
    <w:p>
      <w:pPr>
        <w:pStyle w:val="BodyText"/>
      </w:pPr>
      <w:r>
        <w:t xml:space="preserve">The reference price is an operational risk specific to loans. Loan marks are less continuous and less transparent than bond or equity prices, and the swap’s mark-to-market and variation margin depend on the agreed price source. A thin or stale composite, or a dealer poll that diverges from where the loan would actually trade, can create mark disputes and margin friction. The price source and dispute mechanics should be pinned down in the confirmation.</w:t>
      </w:r>
    </w:p>
    <w:p>
      <w:pPr>
        <w:pStyle w:val="BodyText"/>
      </w:pPr>
      <w:r>
        <w:t xml:space="preserve">Roll and termination flexibility matter given the tactical horizon. The swap should be structured so it can be unwound at market on reasonable notice, which is standard, so that the time stop can actually be executed. If the view persists beyond the scheduled termination, the position can be rolled, though a roll re-strikes the reference price at the then-current mark, which changes the risk-reward.</w:t>
      </w:r>
    </w:p>
    <w:p>
      <w:pPr>
        <w:pStyle w:val="BodyText"/>
      </w:pPr>
      <w:r>
        <w:t xml:space="preserve">Finally, the dealer’s ability and willingness to warehouse the short is not guaranteed. The dealer takes the other side and must hedge or source the exposure, and for a difficult-to-source loan the dealer may limit notional, widen the financing spread, or decline. This is why the financing spread and available size are quote-dependent and must be established up front rather than assumed.</w:t>
      </w:r>
    </w:p>
    <w:p>
      <w:r>
        <w:pict>
          <v:rect style="width:0;height:1.5pt" o:hralign="center" o:hrstd="t" o:hr="t"/>
        </w:pict>
      </w:r>
    </w:p>
    <w:bookmarkEnd w:id="47"/>
    <w:bookmarkStart w:id="48" w:name="risk-management-and-unwind-discipline"/>
    <w:p>
      <w:pPr>
        <w:pStyle w:val="Heading1"/>
      </w:pPr>
      <w:r>
        <w:t xml:space="preserve">10. Risk Management and Unwind Discipline</w:t>
      </w:r>
    </w:p>
    <w:p>
      <w:pPr>
        <w:pStyle w:val="FirstParagraph"/>
      </w:pPr>
      <w:r>
        <w:t xml:space="preserve">The risks and the discipline that manages them are as follows.</w:t>
      </w:r>
    </w:p>
    <w:p>
      <w:pPr>
        <w:pStyle w:val="BodyText"/>
      </w:pPr>
      <w:r>
        <w:t xml:space="preserve">Negative carry against a money-good loan is the primary risk. The mitigant is to treat carry as premium, size accordingly, enter near catalysts, and enforce a hard time stop of roughly six to nine months so the position does not bleed indefinitely.</w:t>
      </w:r>
    </w:p>
    <w:p>
      <w:pPr>
        <w:pStyle w:val="BodyText"/>
      </w:pPr>
      <w:r>
        <w:t xml:space="preserve">A par take-out via M&amp;A is the sharpest tail risk, because a change of control repays the reference loan at par and the short loses carry plus the pull to par. The mitigants are to keep size modest, to monitor strategic and sponsor interest, and to prefer the pair construction which cushions the loss. There is no way to fully hedge take-out risk in this structure, so it must be sized for.</w:t>
      </w:r>
    </w:p>
    <w:p>
      <w:pPr>
        <w:pStyle w:val="BodyText"/>
      </w:pPr>
      <w:r>
        <w:t xml:space="preserve">A benign loan-market technical, in which strong demand for performing first liens keeps the loan bid near par regardless of fundamentals, can suppress the price move the thesis needs. The mitigant is catalyst timing, since a specific negative catalyst is what overrides the technical, and patience in entry.</w:t>
      </w:r>
    </w:p>
    <w:p>
      <w:pPr>
        <w:pStyle w:val="BodyText"/>
      </w:pPr>
      <w:r>
        <w:t xml:space="preserve">Mark and margin risk from the reference price source is managed through the documentation, by agreeing a robust price source and clear dispute mechanics before trading.</w:t>
      </w:r>
    </w:p>
    <w:p>
      <w:pPr>
        <w:pStyle w:val="BodyText"/>
      </w:pPr>
      <w:r>
        <w:t xml:space="preserve">Counterparty and documentation risk is managed by having the ISDA and CSA in place with a strong dealer and by relying on the collateral framework.</w:t>
      </w:r>
    </w:p>
    <w:p>
      <w:pPr>
        <w:pStyle w:val="BodyText"/>
      </w:pPr>
      <w:r>
        <w:t xml:space="preserve">The unwind discipline is explicit. Exit and take the gain if a catalyst produces a prompt gap wider that meets the return objective. Exit and cut the loss if the time stop is reached without the thesis working, to stop the carry. Exit or trim if a leveraging or take-out event is announced that changes the setup. And reassess sizing if the dealer materially widens the financing spread on a roll, since that raises the premium clock.</w:t>
      </w:r>
    </w:p>
    <w:p>
      <w:r>
        <w:pict>
          <v:rect style="width:0;height:1.5pt" o:hralign="center" o:hrstd="t" o:hr="t"/>
        </w:pict>
      </w:r>
    </w:p>
    <w:bookmarkEnd w:id="48"/>
    <w:bookmarkStart w:id="49" w:name="catalyst-calendar-and-timing"/>
    <w:p>
      <w:pPr>
        <w:pStyle w:val="Heading1"/>
      </w:pPr>
      <w:r>
        <w:t xml:space="preserve">11. Catalyst Calendar and Timing</w:t>
      </w:r>
    </w:p>
    <w:p>
      <w:pPr>
        <w:pStyle w:val="FirstParagraph"/>
      </w:pPr>
      <w:r>
        <w:t xml:space="preserve">The trade is only as good as its entry timing, so the catalyst path is central rather than incidental.</w:t>
      </w:r>
    </w:p>
    <w:p>
      <w:pPr>
        <w:pStyle w:val="BodyText"/>
      </w:pPr>
      <w:r>
        <w:t xml:space="preserve">The nearest and most concrete catalyst is the Q2 2026 earnings release on August 5, 2026, with the call on August 6. A continued acceleration of the prescription-transactions decline, further margin compression, or any softening of guidance would be the kind of print that widens the loan. This is the natural entry window.</w:t>
      </w:r>
    </w:p>
    <w:p>
      <w:pPr>
        <w:pStyle w:val="BodyText"/>
      </w:pPr>
      <w:r>
        <w:t xml:space="preserve">Beyond that, the Q3 2026 print in the autumn is a second earnings catalyst on the same axis. A rating agency outlook change to negative, or any downgrade commentary tied to the EBITDA decline, would widen the loan directly. Adverse developments in the integrated savings program antitrust litigation, particularly anything touching the mechanism rather than a cash settlement, would be a structural catalyst. A goodwill impairment would be a confirming signal even though it is non-cash. And any move toward a debt-funded acquisition would re-lever the credit and widen the loan, though the same M&amp;A vector carries the par take-out risk that cuts the other way.</w:t>
      </w:r>
    </w:p>
    <w:p>
      <w:pPr>
        <w:pStyle w:val="BodyText"/>
      </w:pPr>
      <w:r>
        <w:t xml:space="preserve">The timing rule that follows is simple. Put the position on into a catalyst, not into dead time. Given the recent equity strength and a loan most likely bid near par, the disciplined approach is to prepare the documentation and the quote now and to enter around the August 5 print or a comparable event, rather than paying carry in the interim.</w:t>
      </w:r>
    </w:p>
    <w:p>
      <w:r>
        <w:pict>
          <v:rect style="width:0;height:1.5pt" o:hralign="center" o:hrstd="t" o:hr="t"/>
        </w:pict>
      </w:r>
    </w:p>
    <w:bookmarkEnd w:id="49"/>
    <w:bookmarkStart w:id="50" w:name="X4bf8592735bbcc5783dcc8650afddf27f6aac8e"/>
    <w:p>
      <w:pPr>
        <w:pStyle w:val="Heading1"/>
      </w:pPr>
      <w:r>
        <w:t xml:space="preserve">12. Questions You Should Expect (Mechanics and Thesis)</w:t>
      </w:r>
    </w:p>
    <w:p>
      <w:pPr>
        <w:pStyle w:val="FirstParagraph"/>
      </w:pPr>
      <w:r>
        <w:rPr>
          <w:bCs/>
          <w:b/>
        </w:rPr>
        <w:t xml:space="preserve">Q1. How do you short a loan you cannot borrow?</w:t>
      </w:r>
      <w:r>
        <w:t xml:space="preserve"> </w:t>
      </w:r>
      <w:r>
        <w:t xml:space="preserve">You do not short it in the cash market, because loans settle by assignment and cannot be borrowed, so a cash short fails to settle. You express the short synthetically through a total return swap, paying the loan’s total return and receiving a financing leg, which gives you the short economics with no assignment and no principal funding.</w:t>
      </w:r>
    </w:p>
    <w:p>
      <w:pPr>
        <w:pStyle w:val="BodyText"/>
      </w:pPr>
      <w:r>
        <w:rPr>
          <w:bCs/>
          <w:b/>
        </w:rPr>
        <w:t xml:space="preserve">Q2. Walk me through who pays what.</w:t>
      </w:r>
      <w:r>
        <w:t xml:space="preserve"> </w:t>
      </w:r>
      <w:r>
        <w:t xml:space="preserve">As the total return payer, the client pays the loan coupon of Term SOFR plus 3.75% and pays any price appreciation, and receives a financing leg of Term SOFR minus a financing spread and receives any price depreciation. When the loan falls in price, the depreciation flows to the client, which is the short working.</w:t>
      </w:r>
    </w:p>
    <w:p>
      <w:pPr>
        <w:pStyle w:val="BodyText"/>
      </w:pPr>
      <w:r>
        <w:rPr>
          <w:bCs/>
          <w:b/>
        </w:rPr>
        <w:t xml:space="preserve">Q3. What is your actual carry, and do not say 8%.</w:t>
      </w:r>
      <w:r>
        <w:t xml:space="preserve"> </w:t>
      </w:r>
      <w:r>
        <w:t xml:space="preserve">Net carry is the loan spread plus the dealer financing spread, because the SOFR legs offset. That is 3.75% plus roughly 100 to 200 basis points, so about 4.5% to 5.5% per year. The 8% coupon is not the carry, because the client receives SOFR back on the financing leg.</w:t>
      </w:r>
    </w:p>
    <w:p>
      <w:pPr>
        <w:pStyle w:val="BodyText"/>
      </w:pPr>
      <w:r>
        <w:rPr>
          <w:bCs/>
          <w:b/>
        </w:rPr>
        <w:t xml:space="preserve">Q4. If you do not fund principal, what do you post?</w:t>
      </w:r>
      <w:r>
        <w:t xml:space="preserve"> </w:t>
      </w:r>
      <w:r>
        <w:t xml:space="preserve">An Independent Amount under the CSA, roughly 10 to 20% of notional, plus daily variation margin as the loan marks. On a 15 million notional that is a few million of initial margin, not the full notional. That is the sense in which the client gets the economics without handing over principal, and it also makes the position levered.</w:t>
      </w:r>
    </w:p>
    <w:p>
      <w:pPr>
        <w:pStyle w:val="BodyText"/>
      </w:pPr>
      <w:r>
        <w:rPr>
          <w:bCs/>
          <w:b/>
        </w:rPr>
        <w:t xml:space="preserve">Q5. Why is this not a positive-carry or buy-and-hold short?</w:t>
      </w:r>
      <w:r>
        <w:t xml:space="preserve"> </w:t>
      </w:r>
      <w:r>
        <w:t xml:space="preserve">Because the loan is money-good and will not fall far, while you pay roughly 5% a year to hold the short. Carry is a premium you spend for convex downside around catalysts. Held open-endedly it bleeds. It has to be catalyst-timed and time-stopped.</w:t>
      </w:r>
    </w:p>
    <w:p>
      <w:pPr>
        <w:pStyle w:val="BodyText"/>
      </w:pPr>
      <w:r>
        <w:rPr>
          <w:bCs/>
          <w:b/>
        </w:rPr>
        <w:t xml:space="preserve">Q6. What move do you need just to break even?</w:t>
      </w:r>
      <w:r>
        <w:t xml:space="preserve"> </w:t>
      </w:r>
      <w:r>
        <w:t xml:space="preserve">About 2.5 points of price decline over six months, or about 7.5 points over eighteen months, at 5% carry. For a money-good first lien, 7.5 points is a large move, which is exactly why the trade is built around a prompt catalyst rather than a long hold.</w:t>
      </w:r>
    </w:p>
    <w:p>
      <w:pPr>
        <w:pStyle w:val="BodyText"/>
      </w:pPr>
      <w:r>
        <w:rPr>
          <w:bCs/>
          <w:b/>
        </w:rPr>
        <w:t xml:space="preserve">Q7. What is your size and why?</w:t>
      </w:r>
      <w:r>
        <w:t xml:space="preserve"> </w:t>
      </w:r>
      <w:r>
        <w:t xml:space="preserve">Illustratively 10 to 20 million notional, sized as option premium against a carry budget, kept inside single-name limits, and bounded by what the dealer will provide. There is little reason to press size because the upside is capped by the loan being money-good.</w:t>
      </w:r>
    </w:p>
    <w:p>
      <w:pPr>
        <w:pStyle w:val="BodyText"/>
      </w:pPr>
      <w:r>
        <w:rPr>
          <w:bCs/>
          <w:b/>
        </w:rPr>
        <w:t xml:space="preserve">Q8. What is your horizon?</w:t>
      </w:r>
      <w:r>
        <w:t xml:space="preserve"> </w:t>
      </w:r>
      <w:r>
        <w:t xml:space="preserve">Structure the swap for 12 to 18 months for flexibility, but manage it as a 3 to 9 month tactical position with a hard time stop. Unwind at market if the catalyst passes without the loan widening.</w:t>
      </w:r>
    </w:p>
    <w:p>
      <w:pPr>
        <w:pStyle w:val="BodyText"/>
      </w:pPr>
      <w:r>
        <w:rPr>
          <w:bCs/>
          <w:b/>
        </w:rPr>
        <w:t xml:space="preserve">Q9. Where do you enter?</w:t>
      </w:r>
      <w:r>
        <w:t xml:space="preserve"> </w:t>
      </w:r>
      <w:r>
        <w:t xml:space="preserve">Into a catalyst, and preferably with the loan rich near par so it has room to fall. Given the recent equity rally and a loan likely bid near par, the entry is the August 5 Q2 print, not immediately into a rising tape.</w:t>
      </w:r>
    </w:p>
    <w:p>
      <w:pPr>
        <w:pStyle w:val="BodyText"/>
      </w:pPr>
      <w:r>
        <w:rPr>
          <w:bCs/>
          <w:b/>
        </w:rPr>
        <w:t xml:space="preserve">Q10. What kills the trade?</w:t>
      </w:r>
      <w:r>
        <w:t xml:space="preserve"> </w:t>
      </w:r>
      <w:r>
        <w:t xml:space="preserve">A par take-out via M&amp;A, which repays the reference loan at 100 and costs you carry plus the pull to par. It is the sharpest tail and cannot be fully hedged, so you size for it and prefer a pair.</w:t>
      </w:r>
    </w:p>
    <w:p>
      <w:pPr>
        <w:pStyle w:val="BodyText"/>
      </w:pPr>
      <w:r>
        <w:rPr>
          <w:bCs/>
          <w:b/>
        </w:rPr>
        <w:t xml:space="preserve">Q11. Why not just short the equity, which is liquid and borrowable?</w:t>
      </w:r>
      <w:r>
        <w:t xml:space="preserve"> </w:t>
      </w:r>
      <w:r>
        <w:t xml:space="preserve">The equity is a reasonable proxy and has better carry, but it is a higher-beta instrument with its own drivers, including the recent 37% rally, so it is not a clean expression of the credit-spread thesis. Use it as a proxy when swap capacity is constrained or as a pair leg, not as the core credit expression.</w:t>
      </w:r>
    </w:p>
    <w:p>
      <w:pPr>
        <w:pStyle w:val="BodyText"/>
      </w:pPr>
      <w:r>
        <w:rPr>
          <w:bCs/>
          <w:b/>
        </w:rPr>
        <w:t xml:space="preserve">Q12. What is the cleanest institutional version of this?</w:t>
      </w:r>
      <w:r>
        <w:t xml:space="preserve"> </w:t>
      </w:r>
      <w:r>
        <w:t xml:space="preserve">A pair, short GoodRx through the TRS and long a stable single-B first lien of similar spread. It isolates the GoodRx-specific deterioration, hedges loan-market beta, and reduces net carry because the long leg’s coupon offsets part of the short leg’s cost.</w:t>
      </w:r>
    </w:p>
    <w:p>
      <w:pPr>
        <w:pStyle w:val="BodyText"/>
      </w:pPr>
      <w:r>
        <w:rPr>
          <w:bCs/>
          <w:b/>
        </w:rPr>
        <w:t xml:space="preserve">Q13. Who is your counterparty and what is the credit risk?</w:t>
      </w:r>
      <w:r>
        <w:t xml:space="preserve"> </w:t>
      </w:r>
      <w:r>
        <w:t xml:space="preserve">The dealer is the counterparty under an ISDA and CSA. Your exposure to the dealer is largely collateralized through variation margin, but you should be comfortable with the dealer credit and the CSA terms governing collateral movement.</w:t>
      </w:r>
    </w:p>
    <w:p>
      <w:pPr>
        <w:pStyle w:val="BodyText"/>
      </w:pPr>
      <w:r>
        <w:rPr>
          <w:bCs/>
          <w:b/>
        </w:rPr>
        <w:t xml:space="preserve">Q14. How is the position marked, and what if the mark is stale?</w:t>
      </w:r>
      <w:r>
        <w:t xml:space="preserve"> </w:t>
      </w:r>
      <w:r>
        <w:t xml:space="preserve">It is marked to an agreed loan price source, a third-party composite or a dealer poll. Loan marks are less continuous than bond or equity prices, so a stale or disputed mark is a real risk. You pin down the price source and dispute mechanics in the confirmation before trading.</w:t>
      </w:r>
    </w:p>
    <w:p>
      <w:pPr>
        <w:pStyle w:val="BodyText"/>
      </w:pPr>
      <w:r>
        <w:rPr>
          <w:bCs/>
          <w:b/>
        </w:rPr>
        <w:t xml:space="preserve">Q15. Can the dealer refuse or limit the trade?</w:t>
      </w:r>
      <w:r>
        <w:t xml:space="preserve"> </w:t>
      </w:r>
      <w:r>
        <w:t xml:space="preserve">Yes. The dealer must hedge or source the short, and for a hard-to-source loan may cap notional, widen the financing spread, or decline. Available size and the financing spread are quote-dependent and must be established up front.</w:t>
      </w:r>
    </w:p>
    <w:p>
      <w:pPr>
        <w:pStyle w:val="BodyText"/>
      </w:pPr>
      <w:r>
        <w:rPr>
          <w:bCs/>
          <w:b/>
        </w:rPr>
        <w:t xml:space="preserve">Q16. What documentation is required before you can trade?</w:t>
      </w:r>
      <w:r>
        <w:t xml:space="preserve"> </w:t>
      </w:r>
      <w:r>
        <w:t xml:space="preserve">An ISDA Master Agreement and a Credit Support Annex with the dealer. For a first-time relationship that is a gating item, since without it the swap cannot be executed.</w:t>
      </w:r>
    </w:p>
    <w:p>
      <w:pPr>
        <w:pStyle w:val="BodyText"/>
      </w:pPr>
      <w:r>
        <w:rPr>
          <w:bCs/>
          <w:b/>
        </w:rPr>
        <w:t xml:space="preserve">Q17. How do you exit?</w:t>
      </w:r>
      <w:r>
        <w:t xml:space="preserve"> </w:t>
      </w:r>
      <w:r>
        <w:t xml:space="preserve">The TRS unwinds at market value on notice, so you can crystallize the mark at any time. That is what makes the time stop executable. If the view outlives the scheduled termination you can roll, but a roll re-strikes the reference price at the current mark.</w:t>
      </w:r>
    </w:p>
    <w:p>
      <w:pPr>
        <w:pStyle w:val="BodyText"/>
      </w:pPr>
      <w:r>
        <w:rPr>
          <w:bCs/>
          <w:b/>
        </w:rPr>
        <w:t xml:space="preserve">Q18. Is the loan really going to widen given the recent equity rally?</w:t>
      </w:r>
      <w:r>
        <w:t xml:space="preserve"> </w:t>
      </w:r>
      <w:r>
        <w:t xml:space="preserve">That is the honest timing risk. The fundamental case for widening is intact, but sentiment has moved against an immediate entry, which is why the recommendation is to time entry into a catalyst rather than to put the short on to sit. The rally is a reason to wait, not a reason the thesis is wrong.</w:t>
      </w:r>
    </w:p>
    <w:p>
      <w:pPr>
        <w:pStyle w:val="BodyText"/>
      </w:pPr>
      <w:r>
        <w:rPr>
          <w:bCs/>
          <w:b/>
        </w:rPr>
        <w:t xml:space="preserve">Q19. What if a strong technical bid keeps the loan near par regardless of fundamentals?</w:t>
      </w:r>
      <w:r>
        <w:t xml:space="preserve"> </w:t>
      </w:r>
      <w:r>
        <w:t xml:space="preserve">That can happen and it suppresses the move, which is why a specific negative catalyst matters, since it is what overrides the technical. If no catalyst is in sight, the correct action is to wait rather than pay carry into a strong bid.</w:t>
      </w:r>
    </w:p>
    <w:p>
      <w:pPr>
        <w:pStyle w:val="BodyText"/>
      </w:pPr>
      <w:r>
        <w:rPr>
          <w:bCs/>
          <w:b/>
        </w:rPr>
        <w:t xml:space="preserve">Q20. Give me the one-sentence version.</w:t>
      </w:r>
      <w:r>
        <w:t xml:space="preserve"> </w:t>
      </w:r>
      <w:r>
        <w:t xml:space="preserve">You express a spread-widening view on a money-good loan you cannot borrow by paying its total return and receiving financing through a TRS, posting margin rather than principal, at roughly 5% net carry, sized as option premium and timed into a catalyst with a hard time stop, winning if the loan gaps wider promptly and bleeding carry if it does not.</w:t>
      </w:r>
    </w:p>
    <w:p>
      <w:r>
        <w:pict>
          <v:rect style="width:0;height:1.5pt" o:hralign="center" o:hrstd="t" o:hr="t"/>
        </w:pict>
      </w:r>
    </w:p>
    <w:bookmarkEnd w:id="50"/>
    <w:bookmarkStart w:id="56" w:name="appendix"/>
    <w:p>
      <w:pPr>
        <w:pStyle w:val="Heading1"/>
      </w:pPr>
      <w:r>
        <w:t xml:space="preserve">13. Appendix</w:t>
      </w:r>
    </w:p>
    <w:bookmarkStart w:id="51" w:name="net-carry-sensitivity"/>
    <w:p>
      <w:pPr>
        <w:pStyle w:val="Heading2"/>
      </w:pPr>
      <w:r>
        <w:t xml:space="preserve">13.1 Net Carry Sensitivity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Dealer financing spread</w:t>
            </w:r>
          </w:p>
        </w:tc>
        <w:tc>
          <w:tcPr/>
          <w:p>
            <w:pPr>
              <w:pStyle w:val="Compact"/>
              <w:jc w:val="left"/>
            </w:pPr>
            <w:r>
              <w:t xml:space="preserve">Net carry per year</w:t>
            </w:r>
          </w:p>
        </w:tc>
        <w:tc>
          <w:tcPr/>
          <w:p>
            <w:pPr>
              <w:pStyle w:val="Compact"/>
              <w:jc w:val="left"/>
            </w:pPr>
            <w:r>
              <w:t xml:space="preserve">6-month carry</w:t>
            </w:r>
          </w:p>
        </w:tc>
        <w:tc>
          <w:tcPr/>
          <w:p>
            <w:pPr>
              <w:pStyle w:val="Compact"/>
              <w:jc w:val="left"/>
            </w:pPr>
            <w:r>
              <w:t xml:space="preserve">12-month carry</w:t>
            </w:r>
          </w:p>
        </w:tc>
      </w:tr>
      <w:tr>
        <w:tc>
          <w:tcPr/>
          <w:p>
            <w:pPr>
              <w:pStyle w:val="Compact"/>
              <w:jc w:val="left"/>
            </w:pPr>
            <w:r>
              <w:t xml:space="preserve">100 bps</w:t>
            </w:r>
          </w:p>
        </w:tc>
        <w:tc>
          <w:tcPr/>
          <w:p>
            <w:pPr>
              <w:pStyle w:val="Compact"/>
              <w:jc w:val="left"/>
            </w:pPr>
            <w:r>
              <w:t xml:space="preserve">~4.75%</w:t>
            </w:r>
          </w:p>
        </w:tc>
        <w:tc>
          <w:tcPr/>
          <w:p>
            <w:pPr>
              <w:pStyle w:val="Compact"/>
              <w:jc w:val="left"/>
            </w:pPr>
            <w:r>
              <w:t xml:space="preserve">~2.4%</w:t>
            </w:r>
          </w:p>
        </w:tc>
        <w:tc>
          <w:tcPr/>
          <w:p>
            <w:pPr>
              <w:pStyle w:val="Compact"/>
              <w:jc w:val="left"/>
            </w:pPr>
            <w:r>
              <w:t xml:space="preserve">~4.75%</w:t>
            </w:r>
          </w:p>
        </w:tc>
      </w:tr>
      <w:tr>
        <w:tc>
          <w:tcPr/>
          <w:p>
            <w:pPr>
              <w:pStyle w:val="Compact"/>
              <w:jc w:val="left"/>
            </w:pPr>
            <w:r>
              <w:t xml:space="preserve">125 bps</w:t>
            </w:r>
          </w:p>
        </w:tc>
        <w:tc>
          <w:tcPr/>
          <w:p>
            <w:pPr>
              <w:pStyle w:val="Compact"/>
              <w:jc w:val="left"/>
            </w:pPr>
            <w:r>
              <w:t xml:space="preserve">~5.00%</w:t>
            </w:r>
          </w:p>
        </w:tc>
        <w:tc>
          <w:tcPr/>
          <w:p>
            <w:pPr>
              <w:pStyle w:val="Compact"/>
              <w:jc w:val="left"/>
            </w:pPr>
            <w:r>
              <w:t xml:space="preserve">~2.5%</w:t>
            </w:r>
          </w:p>
        </w:tc>
        <w:tc>
          <w:tcPr/>
          <w:p>
            <w:pPr>
              <w:pStyle w:val="Compact"/>
              <w:jc w:val="left"/>
            </w:pPr>
            <w:r>
              <w:t xml:space="preserve">~5.00%</w:t>
            </w:r>
          </w:p>
        </w:tc>
      </w:tr>
      <w:tr>
        <w:tc>
          <w:tcPr/>
          <w:p>
            <w:pPr>
              <w:pStyle w:val="Compact"/>
              <w:jc w:val="left"/>
            </w:pPr>
            <w:r>
              <w:t xml:space="preserve">150 bps</w:t>
            </w:r>
          </w:p>
        </w:tc>
        <w:tc>
          <w:tcPr/>
          <w:p>
            <w:pPr>
              <w:pStyle w:val="Compact"/>
              <w:jc w:val="left"/>
            </w:pPr>
            <w:r>
              <w:t xml:space="preserve">~5.25%</w:t>
            </w:r>
          </w:p>
        </w:tc>
        <w:tc>
          <w:tcPr/>
          <w:p>
            <w:pPr>
              <w:pStyle w:val="Compact"/>
              <w:jc w:val="left"/>
            </w:pPr>
            <w:r>
              <w:t xml:space="preserve">~2.6%</w:t>
            </w:r>
          </w:p>
        </w:tc>
        <w:tc>
          <w:tcPr/>
          <w:p>
            <w:pPr>
              <w:pStyle w:val="Compact"/>
              <w:jc w:val="left"/>
            </w:pPr>
            <w:r>
              <w:t xml:space="preserve">~5.25%</w:t>
            </w:r>
          </w:p>
        </w:tc>
      </w:tr>
      <w:tr>
        <w:tc>
          <w:tcPr/>
          <w:p>
            <w:pPr>
              <w:pStyle w:val="Compact"/>
              <w:jc w:val="left"/>
            </w:pPr>
            <w:r>
              <w:t xml:space="preserve">200 bps</w:t>
            </w:r>
          </w:p>
        </w:tc>
        <w:tc>
          <w:tcPr/>
          <w:p>
            <w:pPr>
              <w:pStyle w:val="Compact"/>
              <w:jc w:val="left"/>
            </w:pPr>
            <w:r>
              <w:t xml:space="preserve">~5.75%</w:t>
            </w:r>
          </w:p>
        </w:tc>
        <w:tc>
          <w:tcPr/>
          <w:p>
            <w:pPr>
              <w:pStyle w:val="Compact"/>
              <w:jc w:val="left"/>
            </w:pPr>
            <w:r>
              <w:t xml:space="preserve">~2.9%</w:t>
            </w:r>
          </w:p>
        </w:tc>
        <w:tc>
          <w:tcPr/>
          <w:p>
            <w:pPr>
              <w:pStyle w:val="Compact"/>
              <w:jc w:val="left"/>
            </w:pPr>
            <w:r>
              <w:t xml:space="preserve">~5.75%</w:t>
            </w:r>
          </w:p>
        </w:tc>
      </w:tr>
    </w:tbl>
    <w:p>
      <w:pPr>
        <w:pStyle w:val="BodyText"/>
      </w:pPr>
      <w:r>
        <w:rPr>
          <w:iCs/>
          <w:i/>
        </w:rPr>
        <w:t xml:space="preserve">Net carry equals the loan spread of 375 bps plus the dealer financing spread, because the SOFR legs offset.</w:t>
      </w:r>
    </w:p>
    <w:bookmarkEnd w:id="51"/>
    <w:bookmarkStart w:id="52" w:name="X031a6237558a8640163cafc0aa20f3667996d06"/>
    <w:p>
      <w:pPr>
        <w:pStyle w:val="Heading2"/>
      </w:pPr>
      <w:r>
        <w:t xml:space="preserve">13.2 Breakeven Price Move by Horizon (at 5% net carry)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Holding period</w:t>
            </w:r>
          </w:p>
        </w:tc>
        <w:tc>
          <w:tcPr/>
          <w:p>
            <w:pPr>
              <w:pStyle w:val="Compact"/>
              <w:jc w:val="left"/>
            </w:pPr>
            <w:r>
              <w:t xml:space="preserve">Approx. carry paid</w:t>
            </w:r>
          </w:p>
        </w:tc>
        <w:tc>
          <w:tcPr/>
          <w:p>
            <w:pPr>
              <w:pStyle w:val="Compact"/>
              <w:jc w:val="left"/>
            </w:pPr>
            <w:r>
              <w:t xml:space="preserve">Price decline to break even</w:t>
            </w:r>
          </w:p>
        </w:tc>
      </w:tr>
      <w:tr>
        <w:tc>
          <w:tcPr/>
          <w:p>
            <w:pPr>
              <w:pStyle w:val="Compact"/>
              <w:jc w:val="left"/>
            </w:pPr>
            <w:r>
              <w:t xml:space="preserve">3 months</w:t>
            </w:r>
          </w:p>
        </w:tc>
        <w:tc>
          <w:tcPr/>
          <w:p>
            <w:pPr>
              <w:pStyle w:val="Compact"/>
              <w:jc w:val="left"/>
            </w:pPr>
            <w:r>
              <w:t xml:space="preserve">~1.25%</w:t>
            </w:r>
          </w:p>
        </w:tc>
        <w:tc>
          <w:tcPr/>
          <w:p>
            <w:pPr>
              <w:pStyle w:val="Compact"/>
              <w:jc w:val="left"/>
            </w:pPr>
            <w:r>
              <w:t xml:space="preserve">~1.25 pts</w:t>
            </w:r>
          </w:p>
        </w:tc>
      </w:tr>
      <w:tr>
        <w:tc>
          <w:tcPr/>
          <w:p>
            <w:pPr>
              <w:pStyle w:val="Compact"/>
              <w:jc w:val="left"/>
            </w:pPr>
            <w:r>
              <w:t xml:space="preserve">6 months</w:t>
            </w:r>
          </w:p>
        </w:tc>
        <w:tc>
          <w:tcPr/>
          <w:p>
            <w:pPr>
              <w:pStyle w:val="Compact"/>
              <w:jc w:val="left"/>
            </w:pPr>
            <w:r>
              <w:t xml:space="preserve">~2.5%</w:t>
            </w:r>
          </w:p>
        </w:tc>
        <w:tc>
          <w:tcPr/>
          <w:p>
            <w:pPr>
              <w:pStyle w:val="Compact"/>
              <w:jc w:val="left"/>
            </w:pPr>
            <w:r>
              <w:t xml:space="preserve">~2.5 pts</w:t>
            </w:r>
          </w:p>
        </w:tc>
      </w:tr>
      <w:tr>
        <w:tc>
          <w:tcPr/>
          <w:p>
            <w:pPr>
              <w:pStyle w:val="Compact"/>
              <w:jc w:val="left"/>
            </w:pPr>
            <w:r>
              <w:t xml:space="preserve">9 months</w:t>
            </w:r>
          </w:p>
        </w:tc>
        <w:tc>
          <w:tcPr/>
          <w:p>
            <w:pPr>
              <w:pStyle w:val="Compact"/>
              <w:jc w:val="left"/>
            </w:pPr>
            <w:r>
              <w:t xml:space="preserve">~3.75%</w:t>
            </w:r>
          </w:p>
        </w:tc>
        <w:tc>
          <w:tcPr/>
          <w:p>
            <w:pPr>
              <w:pStyle w:val="Compact"/>
              <w:jc w:val="left"/>
            </w:pPr>
            <w:r>
              <w:t xml:space="preserve">~3.75 pts</w:t>
            </w:r>
          </w:p>
        </w:tc>
      </w:tr>
      <w:tr>
        <w:tc>
          <w:tcPr/>
          <w:p>
            <w:pPr>
              <w:pStyle w:val="Compact"/>
              <w:jc w:val="left"/>
            </w:pPr>
            <w:r>
              <w:t xml:space="preserve">12 months</w:t>
            </w:r>
          </w:p>
        </w:tc>
        <w:tc>
          <w:tcPr/>
          <w:p>
            <w:pPr>
              <w:pStyle w:val="Compact"/>
              <w:jc w:val="left"/>
            </w:pPr>
            <w:r>
              <w:t xml:space="preserve">~5.0%</w:t>
            </w:r>
          </w:p>
        </w:tc>
        <w:tc>
          <w:tcPr/>
          <w:p>
            <w:pPr>
              <w:pStyle w:val="Compact"/>
              <w:jc w:val="left"/>
            </w:pPr>
            <w:r>
              <w:t xml:space="preserve">~5.0 pts</w:t>
            </w:r>
          </w:p>
        </w:tc>
      </w:tr>
      <w:tr>
        <w:tc>
          <w:tcPr/>
          <w:p>
            <w:pPr>
              <w:pStyle w:val="Compact"/>
              <w:jc w:val="left"/>
            </w:pPr>
            <w:r>
              <w:t xml:space="preserve">18 months</w:t>
            </w:r>
          </w:p>
        </w:tc>
        <w:tc>
          <w:tcPr/>
          <w:p>
            <w:pPr>
              <w:pStyle w:val="Compact"/>
              <w:jc w:val="left"/>
            </w:pPr>
            <w:r>
              <w:t xml:space="preserve">~7.5%</w:t>
            </w:r>
          </w:p>
        </w:tc>
        <w:tc>
          <w:tcPr/>
          <w:p>
            <w:pPr>
              <w:pStyle w:val="Compact"/>
              <w:jc w:val="left"/>
            </w:pPr>
            <w:r>
              <w:t xml:space="preserve">~7.5 pts</w:t>
            </w:r>
          </w:p>
        </w:tc>
      </w:tr>
    </w:tbl>
    <w:bookmarkEnd w:id="52"/>
    <w:bookmarkStart w:id="53" w:name="key-definitions"/>
    <w:p>
      <w:pPr>
        <w:pStyle w:val="Heading2"/>
      </w:pPr>
      <w:r>
        <w:t xml:space="preserve">13.3 Key Definitions</w:t>
      </w:r>
    </w:p>
    <w:p>
      <w:pPr>
        <w:numPr>
          <w:ilvl w:val="0"/>
          <w:numId w:val="1001"/>
        </w:numPr>
        <w:pStyle w:val="Compact"/>
      </w:pPr>
      <w:r>
        <w:rPr>
          <w:bCs/>
          <w:b/>
        </w:rPr>
        <w:t xml:space="preserve">Total Return Swap (TRS):</w:t>
      </w:r>
      <w:r>
        <w:t xml:space="preserve"> </w:t>
      </w:r>
      <w:r>
        <w:t xml:space="preserve">A bilateral derivative exchanging the total economic return of a reference asset for a financing rate, with no transfer of the asset and no principal funding.</w:t>
      </w:r>
    </w:p>
    <w:p>
      <w:pPr>
        <w:numPr>
          <w:ilvl w:val="0"/>
          <w:numId w:val="1001"/>
        </w:numPr>
        <w:pStyle w:val="Compact"/>
      </w:pPr>
      <w:r>
        <w:rPr>
          <w:bCs/>
          <w:b/>
        </w:rPr>
        <w:t xml:space="preserve">Total Return Payer:</w:t>
      </w:r>
      <w:r>
        <w:t xml:space="preserve"> </w:t>
      </w:r>
      <w:r>
        <w:t xml:space="preserve">The party paying the asset’s total return and receiving financing. In a short, this is the client.</w:t>
      </w:r>
    </w:p>
    <w:p>
      <w:pPr>
        <w:numPr>
          <w:ilvl w:val="0"/>
          <w:numId w:val="1001"/>
        </w:numPr>
        <w:pStyle w:val="Compact"/>
      </w:pPr>
      <w:r>
        <w:rPr>
          <w:bCs/>
          <w:b/>
        </w:rPr>
        <w:t xml:space="preserve">Total Return Receiver:</w:t>
      </w:r>
      <w:r>
        <w:t xml:space="preserve"> </w:t>
      </w:r>
      <w:r>
        <w:t xml:space="preserve">The party receiving the asset’s total return and paying financing. Typically the dealer.</w:t>
      </w:r>
    </w:p>
    <w:p>
      <w:pPr>
        <w:numPr>
          <w:ilvl w:val="0"/>
          <w:numId w:val="1001"/>
        </w:numPr>
        <w:pStyle w:val="Compact"/>
      </w:pPr>
      <w:r>
        <w:rPr>
          <w:bCs/>
          <w:b/>
        </w:rPr>
        <w:t xml:space="preserve">Financing leg:</w:t>
      </w:r>
      <w:r>
        <w:t xml:space="preserve"> </w:t>
      </w:r>
      <w:r>
        <w:t xml:space="preserve">The floating funding rate leg of the swap, structured off Term SOFR adjusted by a financing spread.</w:t>
      </w:r>
    </w:p>
    <w:p>
      <w:pPr>
        <w:numPr>
          <w:ilvl w:val="0"/>
          <w:numId w:val="1001"/>
        </w:numPr>
        <w:pStyle w:val="Compact"/>
      </w:pPr>
      <w:r>
        <w:rPr>
          <w:bCs/>
          <w:b/>
        </w:rPr>
        <w:t xml:space="preserve">Independent Amount:</w:t>
      </w:r>
      <w:r>
        <w:t xml:space="preserve"> </w:t>
      </w:r>
      <w:r>
        <w:t xml:space="preserve">Initial margin posted under the CSA, the collateral posted at inception, distinct from variation margin.</w:t>
      </w:r>
    </w:p>
    <w:p>
      <w:pPr>
        <w:numPr>
          <w:ilvl w:val="0"/>
          <w:numId w:val="1001"/>
        </w:numPr>
        <w:pStyle w:val="Compact"/>
      </w:pPr>
      <w:r>
        <w:rPr>
          <w:bCs/>
          <w:b/>
        </w:rPr>
        <w:t xml:space="preserve">Variation Margin:</w:t>
      </w:r>
      <w:r>
        <w:t xml:space="preserve"> </w:t>
      </w:r>
      <w:r>
        <w:t xml:space="preserve">Collateral exchanged as the position marks to market between resets.</w:t>
      </w:r>
    </w:p>
    <w:p>
      <w:pPr>
        <w:numPr>
          <w:ilvl w:val="0"/>
          <w:numId w:val="1001"/>
        </w:numPr>
        <w:pStyle w:val="Compact"/>
      </w:pPr>
      <w:r>
        <w:rPr>
          <w:bCs/>
          <w:b/>
        </w:rPr>
        <w:t xml:space="preserve">ISDA Master Agreement:</w:t>
      </w:r>
      <w:r>
        <w:t xml:space="preserve"> </w:t>
      </w:r>
      <w:r>
        <w:t xml:space="preserve">The master legal framework governing over-the-counter derivatives between two parties.</w:t>
      </w:r>
    </w:p>
    <w:p>
      <w:pPr>
        <w:numPr>
          <w:ilvl w:val="0"/>
          <w:numId w:val="1001"/>
        </w:numPr>
        <w:pStyle w:val="Compact"/>
      </w:pPr>
      <w:r>
        <w:rPr>
          <w:bCs/>
          <w:b/>
        </w:rPr>
        <w:t xml:space="preserve">Credit Support Annex (CSA):</w:t>
      </w:r>
      <w:r>
        <w:t xml:space="preserve"> </w:t>
      </w:r>
      <w:r>
        <w:t xml:space="preserve">The collateral schedule to the ISDA governing margin.</w:t>
      </w:r>
    </w:p>
    <w:p>
      <w:pPr>
        <w:numPr>
          <w:ilvl w:val="0"/>
          <w:numId w:val="1001"/>
        </w:numPr>
        <w:pStyle w:val="Compact"/>
      </w:pPr>
      <w:r>
        <w:rPr>
          <w:bCs/>
          <w:b/>
        </w:rPr>
        <w:t xml:space="preserve">Reference price:</w:t>
      </w:r>
      <w:r>
        <w:t xml:space="preserve"> </w:t>
      </w:r>
      <w:r>
        <w:t xml:space="preserve">The agreed loan mark used to value the swap, from a pricing composite or dealer poll.</w:t>
      </w:r>
    </w:p>
    <w:p>
      <w:pPr>
        <w:numPr>
          <w:ilvl w:val="0"/>
          <w:numId w:val="1001"/>
        </w:numPr>
        <w:pStyle w:val="Compact"/>
      </w:pPr>
      <w:r>
        <w:rPr>
          <w:bCs/>
          <w:b/>
        </w:rPr>
        <w:t xml:space="preserve">Assignment:</w:t>
      </w:r>
      <w:r>
        <w:t xml:space="preserve"> </w:t>
      </w:r>
      <w:r>
        <w:t xml:space="preserve">The bilateral process by which loan ownership transfers, the reason loans cannot be shorted in the cash market.</w:t>
      </w:r>
    </w:p>
    <w:p>
      <w:pPr>
        <w:numPr>
          <w:ilvl w:val="0"/>
          <w:numId w:val="1001"/>
        </w:numPr>
        <w:pStyle w:val="Compact"/>
      </w:pPr>
      <w:r>
        <w:rPr>
          <w:bCs/>
          <w:b/>
        </w:rPr>
        <w:t xml:space="preserve">Net carry:</w:t>
      </w:r>
      <w:r>
        <w:t xml:space="preserve"> </w:t>
      </w:r>
      <w:r>
        <w:t xml:space="preserve">The loan spread plus the dealer financing spread, the true periodic cost of the synthetic short.</w:t>
      </w:r>
    </w:p>
    <w:bookmarkEnd w:id="53"/>
    <w:bookmarkStart w:id="54" w:name="data-to-refresh-live-before-execution"/>
    <w:p>
      <w:pPr>
        <w:pStyle w:val="Heading2"/>
      </w:pPr>
      <w:r>
        <w:t xml:space="preserve">13.4 Data To Refresh Live Before Execution</w:t>
      </w:r>
    </w:p>
    <w:p>
      <w:pPr>
        <w:numPr>
          <w:ilvl w:val="0"/>
          <w:numId w:val="1002"/>
        </w:numPr>
        <w:pStyle w:val="Compact"/>
      </w:pPr>
      <w:r>
        <w:t xml:space="preserve">The live loan mark, which sets the entry reference price and the whole return math.</w:t>
      </w:r>
    </w:p>
    <w:p>
      <w:pPr>
        <w:numPr>
          <w:ilvl w:val="0"/>
          <w:numId w:val="1002"/>
        </w:numPr>
        <w:pStyle w:val="Compact"/>
      </w:pPr>
      <w:r>
        <w:t xml:space="preserve">The dealer’s quoted financing spread and available notional, which set the carry and the size.</w:t>
      </w:r>
    </w:p>
    <w:p>
      <w:pPr>
        <w:numPr>
          <w:ilvl w:val="0"/>
          <w:numId w:val="1002"/>
        </w:numPr>
        <w:pStyle w:val="Compact"/>
      </w:pPr>
      <w:r>
        <w:t xml:space="preserve">Current Term SOFR, for the coupon and financing leg levels.</w:t>
      </w:r>
    </w:p>
    <w:p>
      <w:pPr>
        <w:numPr>
          <w:ilvl w:val="0"/>
          <w:numId w:val="1002"/>
        </w:numPr>
        <w:pStyle w:val="Compact"/>
      </w:pPr>
      <w:r>
        <w:t xml:space="preserve">Current ratings and outlooks.</w:t>
      </w:r>
    </w:p>
    <w:p>
      <w:pPr>
        <w:numPr>
          <w:ilvl w:val="0"/>
          <w:numId w:val="1002"/>
        </w:numPr>
        <w:pStyle w:val="Compact"/>
      </w:pPr>
      <w:r>
        <w:t xml:space="preserve">Confirmation that the ISDA and CSA are in place with the intended dealer.</w:t>
      </w:r>
    </w:p>
    <w:p>
      <w:pPr>
        <w:numPr>
          <w:ilvl w:val="0"/>
          <w:numId w:val="1002"/>
        </w:numPr>
        <w:pStyle w:val="Compact"/>
      </w:pPr>
      <w:r>
        <w:t xml:space="preserve">The reference price source and dispute mechanics for the confirmation.</w:t>
      </w:r>
    </w:p>
    <w:p>
      <w:pPr>
        <w:numPr>
          <w:ilvl w:val="0"/>
          <w:numId w:val="1002"/>
        </w:numPr>
        <w:pStyle w:val="Compact"/>
      </w:pPr>
      <w:r>
        <w:t xml:space="preserve">Any post-cutoff developments, including the Q2 2026 results on August 5, 2026, the June 18, 2026 material-event 8-K, and any M&amp;A, refinancing, or litigation news.</w:t>
      </w:r>
    </w:p>
    <w:bookmarkEnd w:id="54"/>
    <w:bookmarkStart w:id="55" w:name="one-paragraph-summary"/>
    <w:p>
      <w:pPr>
        <w:pStyle w:val="Heading2"/>
      </w:pPr>
      <w:r>
        <w:t xml:space="preserve">13.5 One-Paragraph Summary</w:t>
      </w:r>
    </w:p>
    <w:p>
      <w:pPr>
        <w:pStyle w:val="FirstParagraph"/>
      </w:pPr>
      <w:r>
        <w:t xml:space="preserve">The GoodRx 2024 first lien term loan is a credible spread-widening short but a poor cash short, because leveraged loans settle by assignment and cannot be borrowed, so the position is expressed synthetically through a total return swap in which the client pays the loan’s total return and receives a financing leg. The client is short a loan it never owns or delivers, posts margin of roughly 10 to 20% of notional rather than funding principal, and profits when the loan falls in price. The true carry is not the 8% coupon but the loan spread of 375 basis points plus a dealer financing spread, so roughly 4.5% to 5.5% per year, which must be treated as option premium. Because the loan is money-good and will not fall far, the trade is catalyst-timed and time-stopped rather than held, sized as premium against a carry budget and inside single-name and dealer-capacity limits, illustratively 10 to 20 million of notional over a 12 to 18 month structure managed as a 3 to 9 month tactical position. It wins if a catalyst such as the August 5 earnings print forces a prompt gap wider, it bleeds carry if the loan grinds sideways, and its sharpest risk is a par take-out via M&amp;A that repays the reference loan at 100.</w:t>
      </w:r>
    </w:p>
    <w:p>
      <w:r>
        <w:pict>
          <v:rect style="width:0;height:1.5pt" o:hralign="center" o:hrstd="t" o:hr="t"/>
        </w:pict>
      </w:r>
    </w:p>
    <w:p>
      <w:pPr>
        <w:pStyle w:val="FirstParagraph"/>
      </w:pPr>
      <w:r>
        <w:rPr>
          <w:iCs/>
          <w:i/>
        </w:rPr>
        <w:t xml:space="preserve">End of note. Structure, carry, and P&amp;L figures are indicative and depend on live loan marks, dealer financing spreads, and SOFR levels, all of which must be quoted by the desk before execution. The fundamental short case is documented in the companion research note.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GoodRx (GDRX) First Lien Term Loan ��� Synthetic Short via Total Return Swap</dc:title>
  <dc:creator/>
  <cp:keywords/>
  <dcterms:created xsi:type="dcterms:W3CDTF">2026-07-13T11:58:01Z</dcterms:created>
  <dcterms:modified xsi:type="dcterms:W3CDTF">2026-07-13T11:58:01Z</dcterms:modified>
</cp:coreProperties>
</file>

<file path=docProps/custom.xml><?xml version="1.0" encoding="utf-8"?>
<Properties xmlns="http://schemas.openxmlformats.org/officeDocument/2006/custom-properties" xmlns:vt="http://schemas.openxmlformats.org/officeDocument/2006/docPropsVTypes"/>
</file>