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1F5A5" w14:textId="3E057E6F" w:rsidR="00700CA2" w:rsidRPr="00700CA2" w:rsidRDefault="00700CA2" w:rsidP="00700CA2">
      <w:pPr>
        <w:rPr>
          <w:sz w:val="32"/>
          <w:szCs w:val="32"/>
        </w:rPr>
      </w:pPr>
      <w:r w:rsidRPr="00700CA2">
        <w:rPr>
          <w:sz w:val="32"/>
          <w:szCs w:val="32"/>
        </w:rPr>
        <w:t>Prompt</w:t>
      </w:r>
    </w:p>
    <w:p w14:paraId="28B98FD6" w14:textId="77777777" w:rsidR="00700CA2" w:rsidRPr="00700CA2" w:rsidRDefault="00700CA2" w:rsidP="00700CA2">
      <w:pPr>
        <w:rPr>
          <w:sz w:val="32"/>
          <w:szCs w:val="32"/>
        </w:rPr>
      </w:pPr>
      <w:r w:rsidRPr="00700CA2">
        <w:rPr>
          <w:sz w:val="32"/>
          <w:szCs w:val="32"/>
        </w:rPr>
        <w:pict w14:anchorId="4E2A4F38">
          <v:rect id="_x0000_i1037" style="width:0;height:1.5pt" o:hralign="center" o:hrstd="t" o:hr="t" fillcolor="#a0a0a0" stroked="f"/>
        </w:pict>
      </w:r>
    </w:p>
    <w:p w14:paraId="71CFD6DC" w14:textId="77777777" w:rsidR="00700CA2" w:rsidRPr="00700CA2" w:rsidRDefault="00700CA2" w:rsidP="00700CA2">
      <w:pPr>
        <w:rPr>
          <w:sz w:val="32"/>
          <w:szCs w:val="32"/>
        </w:rPr>
      </w:pPr>
      <w:r w:rsidRPr="00700CA2">
        <w:rPr>
          <w:i/>
          <w:iCs/>
          <w:sz w:val="32"/>
          <w:szCs w:val="32"/>
        </w:rPr>
        <w:t xml:space="preserve">Build a single self-contained HTML file (Chart.js and Tailwind CSS </w:t>
      </w:r>
      <w:proofErr w:type="spellStart"/>
      <w:r w:rsidRPr="00700CA2">
        <w:rPr>
          <w:i/>
          <w:iCs/>
          <w:sz w:val="32"/>
          <w:szCs w:val="32"/>
        </w:rPr>
        <w:t>inlined</w:t>
      </w:r>
      <w:proofErr w:type="spellEnd"/>
      <w:r w:rsidRPr="00700CA2">
        <w:rPr>
          <w:i/>
          <w:iCs/>
          <w:sz w:val="32"/>
          <w:szCs w:val="32"/>
        </w:rPr>
        <w:t>, zero external/CDN dependencies) with an interactive Monte Carlo dashboard for portfolio risk under a market shock.</w:t>
      </w:r>
    </w:p>
    <w:p w14:paraId="4D72B91F" w14:textId="77777777" w:rsidR="00700CA2" w:rsidRPr="00700CA2" w:rsidRDefault="00700CA2" w:rsidP="00700CA2">
      <w:pPr>
        <w:rPr>
          <w:sz w:val="32"/>
          <w:szCs w:val="32"/>
        </w:rPr>
      </w:pPr>
      <w:r w:rsidRPr="00700CA2">
        <w:rPr>
          <w:i/>
          <w:iCs/>
          <w:sz w:val="32"/>
          <w:szCs w:val="32"/>
        </w:rPr>
        <w:t>Model: apply an instant shock to the portfolio, then simulate geometric Brownian motion (daily steps) over a recovery horizon, for 1,000–100,000 paths.</w:t>
      </w:r>
    </w:p>
    <w:p w14:paraId="4534B633" w14:textId="77777777" w:rsidR="00700CA2" w:rsidRPr="00700CA2" w:rsidRDefault="00700CA2" w:rsidP="00700CA2">
      <w:pPr>
        <w:rPr>
          <w:sz w:val="32"/>
          <w:szCs w:val="32"/>
        </w:rPr>
      </w:pPr>
      <w:r w:rsidRPr="00700CA2">
        <w:rPr>
          <w:i/>
          <w:iCs/>
          <w:sz w:val="32"/>
          <w:szCs w:val="32"/>
        </w:rPr>
        <w:t>Sliders: initial portfolio value, shock %, volatility, drift, horizon (days), ruin threshold (% drawdown), number of simulations.</w:t>
      </w:r>
    </w:p>
    <w:p w14:paraId="123E9780" w14:textId="77777777" w:rsidR="00700CA2" w:rsidRPr="00700CA2" w:rsidRDefault="00700CA2" w:rsidP="00700CA2">
      <w:pPr>
        <w:rPr>
          <w:sz w:val="32"/>
          <w:szCs w:val="32"/>
        </w:rPr>
      </w:pPr>
      <w:r w:rsidRPr="00700CA2">
        <w:rPr>
          <w:i/>
          <w:iCs/>
          <w:sz w:val="32"/>
          <w:szCs w:val="32"/>
        </w:rPr>
        <w:t xml:space="preserve">Show: execution time/throughput, mean final value, </w:t>
      </w:r>
      <w:proofErr w:type="spellStart"/>
      <w:r w:rsidRPr="00700CA2">
        <w:rPr>
          <w:i/>
          <w:iCs/>
          <w:sz w:val="32"/>
          <w:szCs w:val="32"/>
        </w:rPr>
        <w:t>VaR</w:t>
      </w:r>
      <w:proofErr w:type="spellEnd"/>
      <w:r w:rsidRPr="00700CA2">
        <w:rPr>
          <w:i/>
          <w:iCs/>
          <w:sz w:val="32"/>
          <w:szCs w:val="32"/>
        </w:rPr>
        <w:t xml:space="preserve"> 95% &amp; 99%, CVaR 95%, probability of ruin, best/worst case, a color-banded outcome histogram, and a sample-paths chart with ruin/initial-value reference lines. Auto-run on load and on "Run Simulation" click.</w:t>
      </w:r>
    </w:p>
    <w:p w14:paraId="04CD2C1C" w14:textId="77777777" w:rsidR="006928CA" w:rsidRDefault="00700CA2" w:rsidP="00700CA2">
      <w:pPr>
        <w:rPr>
          <w:i/>
          <w:iCs/>
          <w:sz w:val="32"/>
          <w:szCs w:val="32"/>
        </w:rPr>
      </w:pPr>
      <w:r w:rsidRPr="00700CA2">
        <w:rPr>
          <w:i/>
          <w:iCs/>
          <w:sz w:val="32"/>
          <w:szCs w:val="32"/>
        </w:rPr>
        <w:t xml:space="preserve">Style: dark theme, card layout, sleek and presentation-ready, amber/red used consistently for VaR95/VaR99/ruin. </w:t>
      </w:r>
    </w:p>
    <w:p w14:paraId="0646BC3B" w14:textId="01DC8B00" w:rsidR="00700CA2" w:rsidRPr="00700CA2" w:rsidRDefault="00700CA2" w:rsidP="00700CA2">
      <w:pPr>
        <w:rPr>
          <w:sz w:val="32"/>
          <w:szCs w:val="32"/>
        </w:rPr>
      </w:pPr>
      <w:r w:rsidRPr="00700CA2">
        <w:rPr>
          <w:i/>
          <w:iCs/>
          <w:sz w:val="32"/>
          <w:szCs w:val="32"/>
        </w:rPr>
        <w:t>Add a one-line "not investment advice" disclaimer.</w:t>
      </w:r>
    </w:p>
    <w:p w14:paraId="62AFD5C9" w14:textId="77777777" w:rsidR="00700CA2" w:rsidRPr="00700CA2" w:rsidRDefault="00700CA2" w:rsidP="00700CA2">
      <w:pPr>
        <w:rPr>
          <w:sz w:val="32"/>
          <w:szCs w:val="32"/>
        </w:rPr>
      </w:pPr>
      <w:r w:rsidRPr="00700CA2">
        <w:rPr>
          <w:sz w:val="32"/>
          <w:szCs w:val="32"/>
        </w:rPr>
        <w:pict w14:anchorId="482DEA4A">
          <v:rect id="_x0000_i1038" style="width:0;height:1.5pt" o:hralign="center" o:hrstd="t" o:hr="t" fillcolor="#a0a0a0" stroked="f"/>
        </w:pict>
      </w:r>
    </w:p>
    <w:sectPr w:rsidR="00700CA2" w:rsidRPr="00700C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995"/>
    <w:rsid w:val="0025413A"/>
    <w:rsid w:val="006928CA"/>
    <w:rsid w:val="00700CA2"/>
    <w:rsid w:val="00757995"/>
    <w:rsid w:val="00891873"/>
    <w:rsid w:val="00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F1A55"/>
  <w15:chartTrackingRefBased/>
  <w15:docId w15:val="{E4A9DA5D-5257-47A3-B7CB-8D38AB349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99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99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99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99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99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99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99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9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9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9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9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9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9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99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99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99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99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3</cp:revision>
  <dcterms:created xsi:type="dcterms:W3CDTF">2026-08-16T09:18:00Z</dcterms:created>
  <dcterms:modified xsi:type="dcterms:W3CDTF">2026-08-16T09:19:00Z</dcterms:modified>
</cp:coreProperties>
</file>