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A1C1" w14:textId="77777777" w:rsidR="003F6ACB" w:rsidRPr="003F6ACB" w:rsidRDefault="003F6ACB" w:rsidP="003F6ACB">
      <w:r w:rsidRPr="003F6ACB">
        <w:t>Standard Liability Clause: "DLF’s total liability for any claim arising under this agreement shall be limited to 50% of the annual rent paid by the Tenant."</w:t>
      </w:r>
    </w:p>
    <w:p w14:paraId="211C43DB" w14:textId="77777777" w:rsidR="003F6ACB" w:rsidRPr="003F6ACB" w:rsidRDefault="003F6ACB" w:rsidP="003F6ACB">
      <w:r w:rsidRPr="003F6ACB">
        <w:t>Standard Termination Clause: "Either party may terminate this lease with 90 days' written notice. In case of default, the cure period is 15 business days."</w:t>
      </w:r>
    </w:p>
    <w:p w14:paraId="4EA50A64" w14:textId="7C4E5408" w:rsidR="00891873" w:rsidRPr="003F6ACB" w:rsidRDefault="00891873" w:rsidP="003F6ACB"/>
    <w:sectPr w:rsidR="00891873" w:rsidRPr="003F6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C5"/>
    <w:rsid w:val="003F6ACB"/>
    <w:rsid w:val="00891873"/>
    <w:rsid w:val="008C22C5"/>
    <w:rsid w:val="00C02CE8"/>
    <w:rsid w:val="00DB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BCCBA-01B0-4DED-A6AE-9CBB417D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2026-04-20T08:20:00Z</dcterms:created>
  <dcterms:modified xsi:type="dcterms:W3CDTF">2026-04-20T08:20:00Z</dcterms:modified>
</cp:coreProperties>
</file>