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2A9D8F"/>
          <w:sz w:val="20"/>
          <w:szCs w:val="20"/>
        </w:rPr>
        <w:t xml:space="preserve">Northwind Supply Co.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Q3 2026 Business Performance Report</w:t>
      </w:r>
    </w:p>
    <w:p>
      <w:pPr>
        <w:spacing w:after="160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Prepared by Finance &amp; Strategy  |  Reporting period: July to September 2026  |  Internal use only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Note: Northwind Supply Co. and all figures are fictional and for training use only.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Northwind Supply Co. closed Q3 with revenue of $13.9M, up 5.3% on Q2 and 1.4% ahead of the quarterly target of $13.7M. Net profit rose 11.1% to $2.0M, helped by a gross margin improvement from 57.1% to 58.4% after supplier renegotiations in July.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Growth was strongest in the West and Midwest regions. The Southwest region declined 4.5% following the loss of two large distribution accounts. Customer churn rose to 2.9%, above our 2.5% ceiling, and is the main risk heading into Q4.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Q3 2026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Q2 2026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Revenue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$13.9M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$13.2M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+5.3%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58.4%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57.1%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+1.3 pts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Operating expenses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$6.1M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$5.8M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+5.2%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profit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$2.0M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$1.8M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+11.1%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Active customers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4,820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4,610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+4.6%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Customer churn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2.9%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2.4%</w:t>
            </w:r>
          </w:p>
        </w:tc>
        <w:tc>
          <w:tcPr>
            <w:tcW w:type="dxa" w:w="21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+0.5 pts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6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chart_revenue.png" descr="chart_revenue.png" title="chart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Figure 1. Monthly revenue against target. September was the strongest month of the year.</w:t>
      </w:r>
    </w:p>
    <w:p>
      <w:r>
        <w:br w:type="page"/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Regional Performance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Four of five regions grew quarter on quarter. The West led with 12.4% growth, driven by the launch of the Pacific Direct programme in August. The Southwest is the only region in decline.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chart_region.png" descr="chart_region.png" title="chart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A6270"/>
          <w:sz w:val="17"/>
          <w:szCs w:val="17"/>
        </w:rPr>
        <w:t xml:space="preserve">Figure 2. Q3 revenue growth by region versus Q2.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Highlights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Pacific Direct launch: </w:t>
      </w:r>
      <w:r>
        <w:rPr>
          <w:rFonts w:ascii="Calibri" w:cs="Calibri" w:eastAsia="Calibri" w:hAnsi="Calibri"/>
          <w:sz w:val="21"/>
          <w:szCs w:val="21"/>
        </w:rPr>
        <w:t xml:space="preserve">148 new accounts signed in six weeks, contributing $0.9M in Q3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Supplier savings: </w:t>
      </w:r>
      <w:r>
        <w:rPr>
          <w:rFonts w:ascii="Calibri" w:cs="Calibri" w:eastAsia="Calibri" w:hAnsi="Calibri"/>
          <w:sz w:val="21"/>
          <w:szCs w:val="21"/>
        </w:rPr>
        <w:t xml:space="preserve">renegotiated contracts cut unit costs by 3.8%, worth about $0.4M per quarter.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Delivery performance: </w:t>
      </w:r>
      <w:r>
        <w:rPr>
          <w:rFonts w:ascii="Calibri" w:cs="Calibri" w:eastAsia="Calibri" w:hAnsi="Calibri"/>
          <w:sz w:val="21"/>
          <w:szCs w:val="21"/>
        </w:rPr>
        <w:t xml:space="preserve">on-time delivery reached 96.2%, the highest in company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growth: </w:t>
      </w:r>
      <w:r>
        <w:rPr>
          <w:rFonts w:ascii="Calibri" w:cs="Calibri" w:eastAsia="Calibri" w:hAnsi="Calibri"/>
          <w:sz w:val="21"/>
          <w:szCs w:val="21"/>
        </w:rPr>
        <w:t xml:space="preserve">hired 14 staff, mostly in sales and customer success.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Challenges and Risks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Southwest decline: </w:t>
      </w:r>
      <w:r>
        <w:rPr>
          <w:rFonts w:ascii="Calibri" w:cs="Calibri" w:eastAsia="Calibri" w:hAnsi="Calibri"/>
          <w:sz w:val="21"/>
          <w:szCs w:val="21"/>
        </w:rPr>
        <w:t xml:space="preserve">revenue fell 4.5% after Desert Freight Ltd. and Mesa Wholesale ended their contracts, together worth $0.6M per quarter.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Rising churn: </w:t>
      </w:r>
      <w:r>
        <w:rPr>
          <w:rFonts w:ascii="Calibri" w:cs="Calibri" w:eastAsia="Calibri" w:hAnsi="Calibri"/>
          <w:sz w:val="21"/>
          <w:szCs w:val="21"/>
        </w:rPr>
        <w:t xml:space="preserve">churn increased from 2.4% to 2.9%. Exit surveys cite slower support response times (average 9.1 hours versus a 6 hour target).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 pressure: </w:t>
      </w:r>
      <w:r>
        <w:rPr>
          <w:rFonts w:ascii="Calibri" w:cs="Calibri" w:eastAsia="Calibri" w:hAnsi="Calibri"/>
          <w:sz w:val="21"/>
          <w:szCs w:val="21"/>
        </w:rPr>
        <w:t xml:space="preserve">operating expenses grew 5.2% on higher headcount and a 7% rise in freight costs.</w:t>
      </w:r>
    </w:p>
    <w:p>
      <w:r>
        <w:br w:type="page"/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Q4 Outlook and Targets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Management expects Q4 revenue of $14.8M, supported by the seasonal peak in October and November and the full-quarter effect of Pacific Direct. The following targets have been set: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Revenue: </w:t>
      </w:r>
      <w:r>
        <w:rPr>
          <w:rFonts w:ascii="Calibri" w:cs="Calibri" w:eastAsia="Calibri" w:hAnsi="Calibri"/>
          <w:sz w:val="21"/>
          <w:szCs w:val="21"/>
        </w:rPr>
        <w:t xml:space="preserve">$14.8M (+6.5% on Q3).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Churn: </w:t>
      </w:r>
      <w:r>
        <w:rPr>
          <w:rFonts w:ascii="Calibri" w:cs="Calibri" w:eastAsia="Calibri" w:hAnsi="Calibri"/>
          <w:sz w:val="21"/>
          <w:szCs w:val="21"/>
        </w:rPr>
        <w:t xml:space="preserve">reduce to 2.5% or below by 31 December.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 response time: </w:t>
      </w:r>
      <w:r>
        <w:rPr>
          <w:rFonts w:ascii="Calibri" w:cs="Calibri" w:eastAsia="Calibri" w:hAnsi="Calibri"/>
          <w:sz w:val="21"/>
          <w:szCs w:val="21"/>
        </w:rPr>
        <w:t xml:space="preserve">cut to 6 hours through two new support hires and a revised ticket triage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Southwest recovery: </w:t>
      </w:r>
      <w:r>
        <w:rPr>
          <w:rFonts w:ascii="Calibri" w:cs="Calibri" w:eastAsia="Calibri" w:hAnsi="Calibri"/>
          <w:sz w:val="21"/>
          <w:szCs w:val="21"/>
        </w:rPr>
        <w:t xml:space="preserve">win back or replace $0.3M of lost quarterly revenue.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Decisions Needed and Next Steps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Approval required by 24 October: </w:t>
      </w:r>
      <w:r>
        <w:rPr>
          <w:rFonts w:ascii="Calibri" w:cs="Calibri" w:eastAsia="Calibri" w:hAnsi="Calibri"/>
          <w:sz w:val="21"/>
          <w:szCs w:val="21"/>
        </w:rPr>
        <w:t xml:space="preserve">a $120,000 budget to fund the Southwest recovery plan, covering a regional account manager and a targeted promotion for 60 dormant accounts.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Owners and dates: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Maria Chen, VP Sales: submit the Southwest recovery plan by 17 October.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David Okafor, Head of Support: present the support staffing proposal by 20 October.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Priya Raman, CFO: confirm the Q4 budget reforecast by 31 October.</w:t>
      </w:r>
    </w:p>
    <w:p>
      <w:pPr>
        <w:pStyle w:val="Heading1"/>
        <w:pBdr>
          <w:bottom w:val="single" w:color="2A9D8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Appendix: Contacts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Questions on this report can be directed to Priya Raman (CFO, priya.raman@northwind-example.com) or Maria Chen (VP Sales, maria.chen@northwind-example.com).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270"/>
        <w:sz w:val="16"/>
        <w:szCs w:val="16"/>
      </w:rPr>
      <w:t xml:space="preserve">Northwind Supply Co. (fictional)  |  Page </w:t>
    </w:r>
    <w:r>
      <w:rPr>
        <w:rFonts w:ascii="Calibri" w:cs="Calibri" w:eastAsia="Calibri" w:hAnsi="Calibri"/>
        <w:color w:val="5A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1a5afac9724bea366073f92a1bf674fb8d374a.png"/><Relationship Id="rId9" Type="http://schemas.openxmlformats.org/officeDocument/2006/relationships/image" Target="media/dc463a336eaeef6ef94b0ba8c3e85672e3a075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2026 Business Performance Report</dc:title>
  <dc:creator>Finance &amp; Strategy</dc:creator>
  <cp:lastModifiedBy>Un-named</cp:lastModifiedBy>
  <cp:revision>1</cp:revision>
  <dcterms:created xsi:type="dcterms:W3CDTF">2026-10-10T07:13:10.113Z</dcterms:created>
  <dcterms:modified xsi:type="dcterms:W3CDTF">2026-10-10T07:13:10.113Z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