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24"/>
        </w:rPr>
        <w:t>FINANCE &amp; CREDIT RISK</w:t>
      </w:r>
    </w:p>
    <w:p>
      <w:pPr>
        <w:jc w:val="center"/>
      </w:pPr>
      <w:r>
        <w:rPr>
          <w:b/>
          <w:color w:val="17365D"/>
          <w:sz w:val="50"/>
        </w:rPr>
        <w:t>Loan Portfolio Analysis, Credit Risk Assessment, and Loan Approval Performance Report</w:t>
      </w:r>
    </w:p>
    <w:p>
      <w:pPr>
        <w:jc w:val="center"/>
      </w:pPr>
      <w:r>
        <w:rPr>
          <w:i/>
        </w:rPr>
        <w:br/>
        <w:t>Management report based solely on the current loan application workbook</w:t>
      </w:r>
    </w:p>
    <w:p/>
    <w:p/>
    <w:p/>
    <w:p/>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tcPr>
          <w:p>
            <w:r>
              <w:rPr>
                <w:b/>
                <w:color w:val="FFFFFF"/>
                <w:sz w:val="18"/>
              </w:rPr>
              <w:t>Report attribute</w:t>
            </w:r>
          </w:p>
        </w:tc>
        <w:tc>
          <w:tcPr>
            <w:tcW w:type="dxa" w:w="5083"/>
            <w:shd w:fill="17365D"/>
          </w:tcPr>
          <w:p>
            <w:r>
              <w:rPr>
                <w:b/>
                <w:color w:val="FFFFFF"/>
                <w:sz w:val="18"/>
              </w:rPr>
              <w:t>Detail</w:t>
            </w:r>
          </w:p>
        </w:tc>
      </w:tr>
      <w:tr>
        <w:tc>
          <w:tcPr>
            <w:tcW w:type="dxa" w:w="5083"/>
            <w:vAlign w:val="center"/>
          </w:tcPr>
          <w:p>
            <w:r>
              <w:rPr>
                <w:sz w:val="18"/>
              </w:rPr>
              <w:t>Prepared for</w:t>
            </w:r>
          </w:p>
        </w:tc>
        <w:tc>
          <w:tcPr>
            <w:tcW w:type="dxa" w:w="5083"/>
            <w:vAlign w:val="center"/>
          </w:tcPr>
          <w:p>
            <w:r>
              <w:rPr>
                <w:sz w:val="18"/>
              </w:rPr>
              <w:t>Finance Manager, Credit Risk Manager, Loan Operations Manager and Senior Management</w:t>
            </w:r>
          </w:p>
        </w:tc>
      </w:tr>
      <w:tr>
        <w:tc>
          <w:tcPr>
            <w:tcW w:type="dxa" w:w="5083"/>
            <w:vAlign w:val="center"/>
          </w:tcPr>
          <w:p>
            <w:r>
              <w:rPr>
                <w:sz w:val="18"/>
              </w:rPr>
              <w:t>Report date</w:t>
            </w:r>
          </w:p>
        </w:tc>
        <w:tc>
          <w:tcPr>
            <w:tcW w:type="dxa" w:w="5083"/>
            <w:vAlign w:val="center"/>
          </w:tcPr>
          <w:p>
            <w:r>
              <w:rPr>
                <w:sz w:val="18"/>
              </w:rPr>
              <w:t>10 October 2026</w:t>
            </w:r>
          </w:p>
        </w:tc>
      </w:tr>
      <w:tr>
        <w:tc>
          <w:tcPr>
            <w:tcW w:type="dxa" w:w="5083"/>
            <w:vAlign w:val="center"/>
          </w:tcPr>
          <w:p>
            <w:r>
              <w:rPr>
                <w:sz w:val="18"/>
              </w:rPr>
              <w:t>Source</w:t>
            </w:r>
          </w:p>
        </w:tc>
        <w:tc>
          <w:tcPr>
            <w:tcW w:type="dxa" w:w="5083"/>
            <w:vAlign w:val="center"/>
          </w:tcPr>
          <w:p>
            <w:r>
              <w:rPr>
                <w:sz w:val="18"/>
              </w:rPr>
              <w:t>data_bank_loan.xlsx</w:t>
            </w:r>
          </w:p>
        </w:tc>
      </w:tr>
      <w:tr>
        <w:tc>
          <w:tcPr>
            <w:tcW w:type="dxa" w:w="5083"/>
            <w:vAlign w:val="center"/>
          </w:tcPr>
          <w:p>
            <w:r>
              <w:rPr>
                <w:sz w:val="18"/>
              </w:rPr>
              <w:t>Population analysed</w:t>
            </w:r>
          </w:p>
        </w:tc>
        <w:tc>
          <w:tcPr>
            <w:tcW w:type="dxa" w:w="5083"/>
            <w:vAlign w:val="center"/>
          </w:tcPr>
          <w:p>
            <w:r>
              <w:rPr>
                <w:sz w:val="18"/>
              </w:rPr>
              <w:t>614 application records</w:t>
            </w:r>
          </w:p>
        </w:tc>
      </w:tr>
      <w:tr>
        <w:tc>
          <w:tcPr>
            <w:tcW w:type="dxa" w:w="5083"/>
            <w:vAlign w:val="center"/>
          </w:tcPr>
          <w:p>
            <w:r>
              <w:rPr>
                <w:sz w:val="18"/>
              </w:rPr>
              <w:t>Classification</w:t>
            </w:r>
          </w:p>
        </w:tc>
        <w:tc>
          <w:tcPr>
            <w:tcW w:type="dxa" w:w="5083"/>
            <w:vAlign w:val="center"/>
          </w:tcPr>
          <w:p>
            <w:r>
              <w:rPr>
                <w:sz w:val="18"/>
              </w:rPr>
              <w:t>Confidential – aggregated management information</w:t>
            </w:r>
          </w:p>
        </w:tc>
      </w:tr>
    </w:tbl>
    <w:p>
      <w:r>
        <w:br w:type="page"/>
      </w:r>
    </w:p>
    <w:p>
      <w:pPr>
        <w:pStyle w:val="Heading1"/>
      </w:pPr>
      <w:r>
        <w:t>Table of Contents</w:t>
      </w:r>
    </w:p>
    <w:p>
      <w:r>
        <w:t>This document uses Word heading styles. In Microsoft Word, right-click the table of contents below and select Update Field if page references are not displayed automatically.</w:t>
      </w:r>
    </w:p>
    <w:p>
      <w:fldSimple w:instr="TOC \o &quot;1-3&quot; \h \z \u"/>
    </w:p>
    <w:p>
      <w:pPr>
        <w:pStyle w:val="Heading1"/>
      </w:pPr>
      <w:r>
        <w:t>1. Executive Summary</w:t>
      </w:r>
    </w:p>
    <w:p>
      <w:r>
        <w:t>This report analyses 614 loan applications to describe approval performance, applicant financial profiles, data quality and potential underwriting review areas. Loan_Status is treated strictly as the application decision, not as evidence of an outstanding loan, repayment, delinquency or default.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tcPr>
          <w:p>
            <w:r>
              <w:rPr>
                <w:b/>
                <w:color w:val="FFFFFF"/>
                <w:sz w:val="15"/>
              </w:rPr>
              <w:t>Metric</w:t>
            </w:r>
          </w:p>
        </w:tc>
        <w:tc>
          <w:tcPr>
            <w:tcW w:type="dxa" w:w="5083"/>
            <w:shd w:fill="17365D"/>
          </w:tcPr>
          <w:p>
            <w:r>
              <w:rPr>
                <w:b/>
                <w:color w:val="FFFFFF"/>
                <w:sz w:val="15"/>
              </w:rPr>
              <w:t>Observed result</w:t>
            </w:r>
          </w:p>
        </w:tc>
      </w:tr>
      <w:tr>
        <w:tc>
          <w:tcPr>
            <w:tcW w:type="dxa" w:w="5083"/>
            <w:vAlign w:val="center"/>
          </w:tcPr>
          <w:p>
            <w:r>
              <w:rPr>
                <w:sz w:val="15"/>
              </w:rPr>
              <w:t>Applications</w:t>
            </w:r>
          </w:p>
        </w:tc>
        <w:tc>
          <w:tcPr>
            <w:tcW w:type="dxa" w:w="5083"/>
            <w:vAlign w:val="center"/>
          </w:tcPr>
          <w:p>
            <w:r>
              <w:rPr>
                <w:sz w:val="15"/>
              </w:rPr>
              <w:t>614</w:t>
            </w:r>
          </w:p>
        </w:tc>
      </w:tr>
      <w:tr>
        <w:tc>
          <w:tcPr>
            <w:tcW w:type="dxa" w:w="5083"/>
            <w:vAlign w:val="center"/>
          </w:tcPr>
          <w:p>
            <w:r>
              <w:rPr>
                <w:sz w:val="15"/>
              </w:rPr>
              <w:t>Approved</w:t>
            </w:r>
          </w:p>
        </w:tc>
        <w:tc>
          <w:tcPr>
            <w:tcW w:type="dxa" w:w="5083"/>
            <w:vAlign w:val="center"/>
          </w:tcPr>
          <w:p>
            <w:r>
              <w:rPr>
                <w:sz w:val="15"/>
              </w:rPr>
              <w:t>422 (68.7%)</w:t>
            </w:r>
          </w:p>
        </w:tc>
      </w:tr>
      <w:tr>
        <w:tc>
          <w:tcPr>
            <w:tcW w:type="dxa" w:w="5083"/>
            <w:vAlign w:val="center"/>
          </w:tcPr>
          <w:p>
            <w:r>
              <w:rPr>
                <w:sz w:val="15"/>
              </w:rPr>
              <w:t>Rejected</w:t>
            </w:r>
          </w:p>
        </w:tc>
        <w:tc>
          <w:tcPr>
            <w:tcW w:type="dxa" w:w="5083"/>
            <w:vAlign w:val="center"/>
          </w:tcPr>
          <w:p>
            <w:r>
              <w:rPr>
                <w:sz w:val="15"/>
              </w:rPr>
              <w:t>192 (31.3%)</w:t>
            </w:r>
          </w:p>
        </w:tc>
      </w:tr>
      <w:tr>
        <w:tc>
          <w:tcPr>
            <w:tcW w:type="dxa" w:w="5083"/>
            <w:vAlign w:val="center"/>
          </w:tcPr>
          <w:p>
            <w:r>
              <w:rPr>
                <w:sz w:val="15"/>
              </w:rPr>
              <w:t>Unique Loan_ID</w:t>
            </w:r>
          </w:p>
        </w:tc>
        <w:tc>
          <w:tcPr>
            <w:tcW w:type="dxa" w:w="5083"/>
            <w:vAlign w:val="center"/>
          </w:tcPr>
          <w:p>
            <w:r>
              <w:rPr>
                <w:sz w:val="15"/>
              </w:rPr>
              <w:t>614</w:t>
            </w:r>
          </w:p>
        </w:tc>
      </w:tr>
      <w:tr>
        <w:tc>
          <w:tcPr>
            <w:tcW w:type="dxa" w:w="5083"/>
            <w:vAlign w:val="center"/>
          </w:tcPr>
          <w:p>
            <w:r>
              <w:rPr>
                <w:sz w:val="15"/>
              </w:rPr>
              <w:t>Duplicate Loan_ID</w:t>
            </w:r>
          </w:p>
        </w:tc>
        <w:tc>
          <w:tcPr>
            <w:tcW w:type="dxa" w:w="5083"/>
            <w:vAlign w:val="center"/>
          </w:tcPr>
          <w:p>
            <w:r>
              <w:rPr>
                <w:sz w:val="15"/>
              </w:rPr>
              <w:t>0</w:t>
            </w:r>
          </w:p>
        </w:tc>
      </w:tr>
      <w:tr>
        <w:tc>
          <w:tcPr>
            <w:tcW w:type="dxa" w:w="5083"/>
            <w:vAlign w:val="center"/>
          </w:tcPr>
          <w:p>
            <w:r>
              <w:rPr>
                <w:sz w:val="15"/>
              </w:rPr>
              <w:t>Average ApplicantIncome</w:t>
            </w:r>
          </w:p>
        </w:tc>
        <w:tc>
          <w:tcPr>
            <w:tcW w:type="dxa" w:w="5083"/>
            <w:vAlign w:val="center"/>
          </w:tcPr>
          <w:p>
            <w:r>
              <w:rPr>
                <w:sz w:val="15"/>
              </w:rPr>
              <w:t>5,403.5</w:t>
            </w:r>
          </w:p>
        </w:tc>
      </w:tr>
      <w:tr>
        <w:tc>
          <w:tcPr>
            <w:tcW w:type="dxa" w:w="5083"/>
            <w:vAlign w:val="center"/>
          </w:tcPr>
          <w:p>
            <w:r>
              <w:rPr>
                <w:sz w:val="15"/>
              </w:rPr>
              <w:t>Average LoanAmount</w:t>
            </w:r>
          </w:p>
        </w:tc>
        <w:tc>
          <w:tcPr>
            <w:tcW w:type="dxa" w:w="5083"/>
            <w:vAlign w:val="center"/>
          </w:tcPr>
          <w:p>
            <w:r>
              <w:rPr>
                <w:sz w:val="15"/>
              </w:rPr>
              <w:t>146.4</w:t>
            </w:r>
          </w:p>
        </w:tc>
      </w:tr>
    </w:tbl>
    <w:p>
      <w:r>
        <w:t>Observed facts: approval was 79.6% for recorded Credit_History = 1 and 7.9% for Credit_History = 0. Semiurban recorded the highest property-area approval rate at 76.8%.</w:t>
      </w:r>
    </w:p>
    <w:p>
      <w:r>
        <w:t>Interpretation: credit history is the clearest observed separator of application outcomes. This is association, not causation, and the workbook does not contain policy rules or underwriting reasons.</w:t>
      </w:r>
    </w:p>
    <w:p>
      <w:r>
        <w:t>Recommended action: prioritise mandatory-field controls, investigate structurally incomplete records, monitor approval rates with minimum sample thresholds, and link future reporting to repayment and processing data.</w:t>
      </w:r>
    </w:p>
    <w:p>
      <w:pPr>
        <w:jc w:val="center"/>
      </w:pPr>
      <w:r>
        <w:drawing>
          <wp:inline xmlns:a="http://schemas.openxmlformats.org/drawingml/2006/main" xmlns:pic="http://schemas.openxmlformats.org/drawingml/2006/picture">
            <wp:extent cx="5303520" cy="3013848"/>
            <wp:docPr id="1" name="Picture 1"/>
            <wp:cNvGraphicFramePr>
              <a:graphicFrameLocks noChangeAspect="1"/>
            </wp:cNvGraphicFramePr>
            <a:graphic>
              <a:graphicData uri="http://schemas.openxmlformats.org/drawingml/2006/picture">
                <pic:pic>
                  <pic:nvPicPr>
                    <pic:cNvPr id="0" name="chart_outcomes.png"/>
                    <pic:cNvPicPr/>
                  </pic:nvPicPr>
                  <pic:blipFill>
                    <a:blip r:embed="rId10"/>
                    <a:stretch>
                      <a:fillRect/>
                    </a:stretch>
                  </pic:blipFill>
                  <pic:spPr>
                    <a:xfrm>
                      <a:off x="0" y="0"/>
                      <a:ext cx="5303520" cy="3013848"/>
                    </a:xfrm>
                    <a:prstGeom prst="rect"/>
                  </pic:spPr>
                </pic:pic>
              </a:graphicData>
            </a:graphic>
          </wp:inline>
        </w:drawing>
      </w:r>
    </w:p>
    <w:p>
      <w:pPr>
        <w:jc w:val="center"/>
      </w:pPr>
      <w:r>
        <w:rPr>
          <w:b/>
        </w:rPr>
        <w:t>Figure 1. Application outcomes</w:t>
      </w:r>
    </w:p>
    <w:p>
      <w:r>
        <w:t>Interpretation: The dataset records a higher number of approvals than rejections; this describes decisions only, not subsequent performance.</w:t>
      </w:r>
    </w:p>
    <w:p>
      <w:pPr>
        <w:pStyle w:val="Heading1"/>
      </w:pPr>
      <w:r>
        <w:t>2. Dataset Overview and Data Quality</w:t>
      </w:r>
    </w:p>
    <w:p>
      <w:r>
        <w:t>The dataset contains applicant demographics, reported income, requested loan amount and term, credit-history indicator, property area, application outcome and a Risk_Category field. No unit documentation was found in the workbook; therefore monetary fields are reported as dataset units.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tcPr>
          <w:p>
            <w:r>
              <w:rPr>
                <w:b/>
                <w:color w:val="FFFFFF"/>
                <w:sz w:val="14"/>
              </w:rPr>
              <w:t>Field</w:t>
            </w:r>
          </w:p>
        </w:tc>
        <w:tc>
          <w:tcPr>
            <w:tcW w:type="dxa" w:w="3389"/>
            <w:shd w:fill="17365D"/>
          </w:tcPr>
          <w:p>
            <w:r>
              <w:rPr>
                <w:b/>
                <w:color w:val="FFFFFF"/>
                <w:sz w:val="14"/>
              </w:rPr>
              <w:t>Missing values</w:t>
            </w:r>
          </w:p>
        </w:tc>
        <w:tc>
          <w:tcPr>
            <w:tcW w:type="dxa" w:w="3389"/>
            <w:shd w:fill="17365D"/>
          </w:tcPr>
          <w:p>
            <w:r>
              <w:rPr>
                <w:b/>
                <w:color w:val="FFFFFF"/>
                <w:sz w:val="14"/>
              </w:rPr>
              <w:t>Missing %</w:t>
            </w:r>
          </w:p>
        </w:tc>
      </w:tr>
      <w:tr>
        <w:tc>
          <w:tcPr>
            <w:tcW w:type="dxa" w:w="3389"/>
            <w:vAlign w:val="center"/>
          </w:tcPr>
          <w:p>
            <w:r>
              <w:rPr>
                <w:sz w:val="14"/>
              </w:rPr>
              <w:t>Loan_ID</w:t>
            </w:r>
          </w:p>
        </w:tc>
        <w:tc>
          <w:tcPr>
            <w:tcW w:type="dxa" w:w="3389"/>
            <w:vAlign w:val="center"/>
          </w:tcPr>
          <w:p>
            <w:r>
              <w:rPr>
                <w:sz w:val="14"/>
              </w:rPr>
              <w:t>0</w:t>
            </w:r>
          </w:p>
        </w:tc>
        <w:tc>
          <w:tcPr>
            <w:tcW w:type="dxa" w:w="3389"/>
            <w:vAlign w:val="center"/>
          </w:tcPr>
          <w:p>
            <w:r>
              <w:rPr>
                <w:sz w:val="14"/>
              </w:rPr>
              <w:t>0.0%</w:t>
            </w:r>
          </w:p>
        </w:tc>
      </w:tr>
      <w:tr>
        <w:tc>
          <w:tcPr>
            <w:tcW w:type="dxa" w:w="3389"/>
            <w:vAlign w:val="center"/>
          </w:tcPr>
          <w:p>
            <w:r>
              <w:rPr>
                <w:sz w:val="14"/>
              </w:rPr>
              <w:t>Gender</w:t>
            </w:r>
          </w:p>
        </w:tc>
        <w:tc>
          <w:tcPr>
            <w:tcW w:type="dxa" w:w="3389"/>
            <w:vAlign w:val="center"/>
          </w:tcPr>
          <w:p>
            <w:r>
              <w:rPr>
                <w:sz w:val="14"/>
              </w:rPr>
              <w:t>13</w:t>
            </w:r>
          </w:p>
        </w:tc>
        <w:tc>
          <w:tcPr>
            <w:tcW w:type="dxa" w:w="3389"/>
            <w:vAlign w:val="center"/>
          </w:tcPr>
          <w:p>
            <w:r>
              <w:rPr>
                <w:sz w:val="14"/>
              </w:rPr>
              <w:t>2.1%</w:t>
            </w:r>
          </w:p>
        </w:tc>
      </w:tr>
      <w:tr>
        <w:tc>
          <w:tcPr>
            <w:tcW w:type="dxa" w:w="3389"/>
            <w:vAlign w:val="center"/>
          </w:tcPr>
          <w:p>
            <w:r>
              <w:rPr>
                <w:sz w:val="14"/>
              </w:rPr>
              <w:t>Married</w:t>
            </w:r>
          </w:p>
        </w:tc>
        <w:tc>
          <w:tcPr>
            <w:tcW w:type="dxa" w:w="3389"/>
            <w:vAlign w:val="center"/>
          </w:tcPr>
          <w:p>
            <w:r>
              <w:rPr>
                <w:sz w:val="14"/>
              </w:rPr>
              <w:t>3</w:t>
            </w:r>
          </w:p>
        </w:tc>
        <w:tc>
          <w:tcPr>
            <w:tcW w:type="dxa" w:w="3389"/>
            <w:vAlign w:val="center"/>
          </w:tcPr>
          <w:p>
            <w:r>
              <w:rPr>
                <w:sz w:val="14"/>
              </w:rPr>
              <w:t>0.5%</w:t>
            </w:r>
          </w:p>
        </w:tc>
      </w:tr>
      <w:tr>
        <w:tc>
          <w:tcPr>
            <w:tcW w:type="dxa" w:w="3389"/>
            <w:vAlign w:val="center"/>
          </w:tcPr>
          <w:p>
            <w:r>
              <w:rPr>
                <w:sz w:val="14"/>
              </w:rPr>
              <w:t>Dependents</w:t>
            </w:r>
          </w:p>
        </w:tc>
        <w:tc>
          <w:tcPr>
            <w:tcW w:type="dxa" w:w="3389"/>
            <w:vAlign w:val="center"/>
          </w:tcPr>
          <w:p>
            <w:r>
              <w:rPr>
                <w:sz w:val="14"/>
              </w:rPr>
              <w:t>15</w:t>
            </w:r>
          </w:p>
        </w:tc>
        <w:tc>
          <w:tcPr>
            <w:tcW w:type="dxa" w:w="3389"/>
            <w:vAlign w:val="center"/>
          </w:tcPr>
          <w:p>
            <w:r>
              <w:rPr>
                <w:sz w:val="14"/>
              </w:rPr>
              <w:t>2.4%</w:t>
            </w:r>
          </w:p>
        </w:tc>
      </w:tr>
      <w:tr>
        <w:tc>
          <w:tcPr>
            <w:tcW w:type="dxa" w:w="3389"/>
            <w:vAlign w:val="center"/>
          </w:tcPr>
          <w:p>
            <w:r>
              <w:rPr>
                <w:sz w:val="14"/>
              </w:rPr>
              <w:t>Education</w:t>
            </w:r>
          </w:p>
        </w:tc>
        <w:tc>
          <w:tcPr>
            <w:tcW w:type="dxa" w:w="3389"/>
            <w:vAlign w:val="center"/>
          </w:tcPr>
          <w:p>
            <w:r>
              <w:rPr>
                <w:sz w:val="14"/>
              </w:rPr>
              <w:t>0</w:t>
            </w:r>
          </w:p>
        </w:tc>
        <w:tc>
          <w:tcPr>
            <w:tcW w:type="dxa" w:w="3389"/>
            <w:vAlign w:val="center"/>
          </w:tcPr>
          <w:p>
            <w:r>
              <w:rPr>
                <w:sz w:val="14"/>
              </w:rPr>
              <w:t>0.0%</w:t>
            </w:r>
          </w:p>
        </w:tc>
      </w:tr>
      <w:tr>
        <w:tc>
          <w:tcPr>
            <w:tcW w:type="dxa" w:w="3389"/>
            <w:vAlign w:val="center"/>
          </w:tcPr>
          <w:p>
            <w:r>
              <w:rPr>
                <w:sz w:val="14"/>
              </w:rPr>
              <w:t>Self_Employed</w:t>
            </w:r>
          </w:p>
        </w:tc>
        <w:tc>
          <w:tcPr>
            <w:tcW w:type="dxa" w:w="3389"/>
            <w:vAlign w:val="center"/>
          </w:tcPr>
          <w:p>
            <w:r>
              <w:rPr>
                <w:sz w:val="14"/>
              </w:rPr>
              <w:t>32</w:t>
            </w:r>
          </w:p>
        </w:tc>
        <w:tc>
          <w:tcPr>
            <w:tcW w:type="dxa" w:w="3389"/>
            <w:vAlign w:val="center"/>
          </w:tcPr>
          <w:p>
            <w:r>
              <w:rPr>
                <w:sz w:val="14"/>
              </w:rPr>
              <w:t>5.2%</w:t>
            </w:r>
          </w:p>
        </w:tc>
      </w:tr>
      <w:tr>
        <w:tc>
          <w:tcPr>
            <w:tcW w:type="dxa" w:w="3389"/>
            <w:vAlign w:val="center"/>
          </w:tcPr>
          <w:p>
            <w:r>
              <w:rPr>
                <w:sz w:val="14"/>
              </w:rPr>
              <w:t>ApplicantIncome</w:t>
            </w:r>
          </w:p>
        </w:tc>
        <w:tc>
          <w:tcPr>
            <w:tcW w:type="dxa" w:w="3389"/>
            <w:vAlign w:val="center"/>
          </w:tcPr>
          <w:p>
            <w:r>
              <w:rPr>
                <w:sz w:val="14"/>
              </w:rPr>
              <w:t>0</w:t>
            </w:r>
          </w:p>
        </w:tc>
        <w:tc>
          <w:tcPr>
            <w:tcW w:type="dxa" w:w="3389"/>
            <w:vAlign w:val="center"/>
          </w:tcPr>
          <w:p>
            <w:r>
              <w:rPr>
                <w:sz w:val="14"/>
              </w:rPr>
              <w:t>0.0%</w:t>
            </w:r>
          </w:p>
        </w:tc>
      </w:tr>
      <w:tr>
        <w:tc>
          <w:tcPr>
            <w:tcW w:type="dxa" w:w="3389"/>
            <w:vAlign w:val="center"/>
          </w:tcPr>
          <w:p>
            <w:r>
              <w:rPr>
                <w:sz w:val="14"/>
              </w:rPr>
              <w:t>CoapplicantIncome</w:t>
            </w:r>
          </w:p>
        </w:tc>
        <w:tc>
          <w:tcPr>
            <w:tcW w:type="dxa" w:w="3389"/>
            <w:vAlign w:val="center"/>
          </w:tcPr>
          <w:p>
            <w:r>
              <w:rPr>
                <w:sz w:val="14"/>
              </w:rPr>
              <w:t>0</w:t>
            </w:r>
          </w:p>
        </w:tc>
        <w:tc>
          <w:tcPr>
            <w:tcW w:type="dxa" w:w="3389"/>
            <w:vAlign w:val="center"/>
          </w:tcPr>
          <w:p>
            <w:r>
              <w:rPr>
                <w:sz w:val="14"/>
              </w:rPr>
              <w:t>0.0%</w:t>
            </w:r>
          </w:p>
        </w:tc>
      </w:tr>
      <w:tr>
        <w:tc>
          <w:tcPr>
            <w:tcW w:type="dxa" w:w="3389"/>
            <w:vAlign w:val="center"/>
          </w:tcPr>
          <w:p>
            <w:r>
              <w:rPr>
                <w:sz w:val="14"/>
              </w:rPr>
              <w:t>LoanAmount</w:t>
            </w:r>
          </w:p>
        </w:tc>
        <w:tc>
          <w:tcPr>
            <w:tcW w:type="dxa" w:w="3389"/>
            <w:vAlign w:val="center"/>
          </w:tcPr>
          <w:p>
            <w:r>
              <w:rPr>
                <w:sz w:val="14"/>
              </w:rPr>
              <w:t>22</w:t>
            </w:r>
          </w:p>
        </w:tc>
        <w:tc>
          <w:tcPr>
            <w:tcW w:type="dxa" w:w="3389"/>
            <w:vAlign w:val="center"/>
          </w:tcPr>
          <w:p>
            <w:r>
              <w:rPr>
                <w:sz w:val="14"/>
              </w:rPr>
              <w:t>3.6%</w:t>
            </w:r>
          </w:p>
        </w:tc>
      </w:tr>
      <w:tr>
        <w:tc>
          <w:tcPr>
            <w:tcW w:type="dxa" w:w="3389"/>
            <w:vAlign w:val="center"/>
          </w:tcPr>
          <w:p>
            <w:r>
              <w:rPr>
                <w:sz w:val="14"/>
              </w:rPr>
              <w:t>Loan_Amount_Term</w:t>
            </w:r>
          </w:p>
        </w:tc>
        <w:tc>
          <w:tcPr>
            <w:tcW w:type="dxa" w:w="3389"/>
            <w:vAlign w:val="center"/>
          </w:tcPr>
          <w:p>
            <w:r>
              <w:rPr>
                <w:sz w:val="14"/>
              </w:rPr>
              <w:t>14</w:t>
            </w:r>
          </w:p>
        </w:tc>
        <w:tc>
          <w:tcPr>
            <w:tcW w:type="dxa" w:w="3389"/>
            <w:vAlign w:val="center"/>
          </w:tcPr>
          <w:p>
            <w:r>
              <w:rPr>
                <w:sz w:val="14"/>
              </w:rPr>
              <w:t>2.3%</w:t>
            </w:r>
          </w:p>
        </w:tc>
      </w:tr>
      <w:tr>
        <w:tc>
          <w:tcPr>
            <w:tcW w:type="dxa" w:w="3389"/>
            <w:vAlign w:val="center"/>
          </w:tcPr>
          <w:p>
            <w:r>
              <w:rPr>
                <w:sz w:val="14"/>
              </w:rPr>
              <w:t>Credit_History</w:t>
            </w:r>
          </w:p>
        </w:tc>
        <w:tc>
          <w:tcPr>
            <w:tcW w:type="dxa" w:w="3389"/>
            <w:vAlign w:val="center"/>
          </w:tcPr>
          <w:p>
            <w:r>
              <w:rPr>
                <w:sz w:val="14"/>
              </w:rPr>
              <w:t>50</w:t>
            </w:r>
          </w:p>
        </w:tc>
        <w:tc>
          <w:tcPr>
            <w:tcW w:type="dxa" w:w="3389"/>
            <w:vAlign w:val="center"/>
          </w:tcPr>
          <w:p>
            <w:r>
              <w:rPr>
                <w:sz w:val="14"/>
              </w:rPr>
              <w:t>8.1%</w:t>
            </w:r>
          </w:p>
        </w:tc>
      </w:tr>
      <w:tr>
        <w:tc>
          <w:tcPr>
            <w:tcW w:type="dxa" w:w="3389"/>
            <w:vAlign w:val="center"/>
          </w:tcPr>
          <w:p>
            <w:r>
              <w:rPr>
                <w:sz w:val="14"/>
              </w:rPr>
              <w:t>Property_Area</w:t>
            </w:r>
          </w:p>
        </w:tc>
        <w:tc>
          <w:tcPr>
            <w:tcW w:type="dxa" w:w="3389"/>
            <w:vAlign w:val="center"/>
          </w:tcPr>
          <w:p>
            <w:r>
              <w:rPr>
                <w:sz w:val="14"/>
              </w:rPr>
              <w:t>0</w:t>
            </w:r>
          </w:p>
        </w:tc>
        <w:tc>
          <w:tcPr>
            <w:tcW w:type="dxa" w:w="3389"/>
            <w:vAlign w:val="center"/>
          </w:tcPr>
          <w:p>
            <w:r>
              <w:rPr>
                <w:sz w:val="14"/>
              </w:rPr>
              <w:t>0.0%</w:t>
            </w:r>
          </w:p>
        </w:tc>
      </w:tr>
      <w:tr>
        <w:tc>
          <w:tcPr>
            <w:tcW w:type="dxa" w:w="3389"/>
            <w:vAlign w:val="center"/>
          </w:tcPr>
          <w:p>
            <w:r>
              <w:rPr>
                <w:sz w:val="14"/>
              </w:rPr>
              <w:t>Loan_Status</w:t>
            </w:r>
          </w:p>
        </w:tc>
        <w:tc>
          <w:tcPr>
            <w:tcW w:type="dxa" w:w="3389"/>
            <w:vAlign w:val="center"/>
          </w:tcPr>
          <w:p>
            <w:r>
              <w:rPr>
                <w:sz w:val="14"/>
              </w:rPr>
              <w:t>0</w:t>
            </w:r>
          </w:p>
        </w:tc>
        <w:tc>
          <w:tcPr>
            <w:tcW w:type="dxa" w:w="3389"/>
            <w:vAlign w:val="center"/>
          </w:tcPr>
          <w:p>
            <w:r>
              <w:rPr>
                <w:sz w:val="14"/>
              </w:rPr>
              <w:t>0.0%</w:t>
            </w:r>
          </w:p>
        </w:tc>
      </w:tr>
      <w:tr>
        <w:tc>
          <w:tcPr>
            <w:tcW w:type="dxa" w:w="3389"/>
            <w:vAlign w:val="center"/>
          </w:tcPr>
          <w:p>
            <w:r>
              <w:rPr>
                <w:sz w:val="14"/>
              </w:rPr>
              <w:t>Risk_Category</w:t>
            </w:r>
          </w:p>
        </w:tc>
        <w:tc>
          <w:tcPr>
            <w:tcW w:type="dxa" w:w="3389"/>
            <w:vAlign w:val="center"/>
          </w:tcPr>
          <w:p>
            <w:r>
              <w:rPr>
                <w:sz w:val="14"/>
              </w:rPr>
              <w:t>0</w:t>
            </w:r>
          </w:p>
        </w:tc>
        <w:tc>
          <w:tcPr>
            <w:tcW w:type="dxa" w:w="3389"/>
            <w:vAlign w:val="center"/>
          </w:tcPr>
          <w:p>
            <w:r>
              <w:rPr>
                <w:sz w:val="14"/>
              </w:rPr>
              <w:t>0.0%</w:t>
            </w:r>
          </w:p>
        </w:tc>
      </w:tr>
    </w:tbl>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65D"/>
          </w:tcPr>
          <w:p>
            <w:r>
              <w:rPr>
                <w:b/>
                <w:color w:val="FFFFFF"/>
                <w:sz w:val="13"/>
              </w:rPr>
              <w:t>Issue</w:t>
            </w:r>
          </w:p>
        </w:tc>
        <w:tc>
          <w:tcPr>
            <w:tcW w:type="dxa" w:w="2541"/>
            <w:shd w:fill="17365D"/>
          </w:tcPr>
          <w:p>
            <w:r>
              <w:rPr>
                <w:b/>
                <w:color w:val="FFFFFF"/>
                <w:sz w:val="13"/>
              </w:rPr>
              <w:t>Affected field</w:t>
            </w:r>
          </w:p>
        </w:tc>
        <w:tc>
          <w:tcPr>
            <w:tcW w:type="dxa" w:w="2541"/>
            <w:shd w:fill="17365D"/>
          </w:tcPr>
          <w:p>
            <w:r>
              <w:rPr>
                <w:b/>
                <w:color w:val="FFFFFF"/>
                <w:sz w:val="13"/>
              </w:rPr>
              <w:t>Potential impact</w:t>
            </w:r>
          </w:p>
        </w:tc>
        <w:tc>
          <w:tcPr>
            <w:tcW w:type="dxa" w:w="2541"/>
            <w:shd w:fill="17365D"/>
          </w:tcPr>
          <w:p>
            <w:r>
              <w:rPr>
                <w:b/>
                <w:color w:val="FFFFFF"/>
                <w:sz w:val="13"/>
              </w:rPr>
              <w:t>Recommended corrective action</w:t>
            </w:r>
          </w:p>
        </w:tc>
      </w:tr>
      <w:tr>
        <w:tc>
          <w:tcPr>
            <w:tcW w:type="dxa" w:w="2541"/>
            <w:vAlign w:val="center"/>
          </w:tcPr>
          <w:p>
            <w:r>
              <w:rPr>
                <w:sz w:val="13"/>
              </w:rPr>
              <w:t>Missing values</w:t>
            </w:r>
          </w:p>
        </w:tc>
        <w:tc>
          <w:tcPr>
            <w:tcW w:type="dxa" w:w="2541"/>
            <w:vAlign w:val="center"/>
          </w:tcPr>
          <w:p>
            <w:r>
              <w:rPr>
                <w:sz w:val="13"/>
              </w:rPr>
              <w:t>Multiple fields including LoanAmount, Credit_History and demographics</w:t>
            </w:r>
          </w:p>
        </w:tc>
        <w:tc>
          <w:tcPr>
            <w:tcW w:type="dxa" w:w="2541"/>
            <w:vAlign w:val="center"/>
          </w:tcPr>
          <w:p>
            <w:r>
              <w:rPr>
                <w:sz w:val="13"/>
              </w:rPr>
              <w:t>Biased denominators; incomplete underwriting evidence</w:t>
            </w:r>
          </w:p>
        </w:tc>
        <w:tc>
          <w:tcPr>
            <w:tcW w:type="dxa" w:w="2541"/>
            <w:vAlign w:val="center"/>
          </w:tcPr>
          <w:p>
            <w:r>
              <w:rPr>
                <w:sz w:val="13"/>
              </w:rPr>
              <w:t>Validate source, retain missing flag, and complete before final decisions</w:t>
            </w:r>
          </w:p>
        </w:tc>
      </w:tr>
      <w:tr>
        <w:tc>
          <w:tcPr>
            <w:tcW w:type="dxa" w:w="2541"/>
            <w:vAlign w:val="center"/>
          </w:tcPr>
          <w:p>
            <w:r>
              <w:rPr>
                <w:sz w:val="13"/>
              </w:rPr>
              <w:t>Structurally shifted/incomplete rows</w:t>
            </w:r>
          </w:p>
        </w:tc>
        <w:tc>
          <w:tcPr>
            <w:tcW w:type="dxa" w:w="2541"/>
            <w:vAlign w:val="center"/>
          </w:tcPr>
          <w:p>
            <w:r>
              <w:rPr>
                <w:sz w:val="13"/>
              </w:rPr>
              <w:t>Records with blank intermediate fields</w:t>
            </w:r>
          </w:p>
        </w:tc>
        <w:tc>
          <w:tcPr>
            <w:tcW w:type="dxa" w:w="2541"/>
            <w:vAlign w:val="center"/>
          </w:tcPr>
          <w:p>
            <w:r>
              <w:rPr>
                <w:sz w:val="13"/>
              </w:rPr>
              <w:t>Values may appear under wrong conceptual field if imported positionally</w:t>
            </w:r>
          </w:p>
        </w:tc>
        <w:tc>
          <w:tcPr>
            <w:tcW w:type="dxa" w:w="2541"/>
            <w:vAlign w:val="center"/>
          </w:tcPr>
          <w:p>
            <w:r>
              <w:rPr>
                <w:sz w:val="13"/>
              </w:rPr>
              <w:t>Reconcile against source form and enforce schema validation</w:t>
            </w:r>
          </w:p>
        </w:tc>
      </w:tr>
      <w:tr>
        <w:tc>
          <w:tcPr>
            <w:tcW w:type="dxa" w:w="2541"/>
            <w:vAlign w:val="center"/>
          </w:tcPr>
          <w:p>
            <w:r>
              <w:rPr>
                <w:sz w:val="13"/>
              </w:rPr>
              <w:t>Dependents category</w:t>
            </w:r>
          </w:p>
        </w:tc>
        <w:tc>
          <w:tcPr>
            <w:tcW w:type="dxa" w:w="2541"/>
            <w:vAlign w:val="center"/>
          </w:tcPr>
          <w:p>
            <w:r>
              <w:rPr>
                <w:sz w:val="13"/>
              </w:rPr>
              <w:t>Dependents includes 3+</w:t>
            </w:r>
          </w:p>
        </w:tc>
        <w:tc>
          <w:tcPr>
            <w:tcW w:type="dxa" w:w="2541"/>
            <w:vAlign w:val="center"/>
          </w:tcPr>
          <w:p>
            <w:r>
              <w:rPr>
                <w:sz w:val="13"/>
              </w:rPr>
              <w:t>Represents an open-ended band, not exact count</w:t>
            </w:r>
          </w:p>
        </w:tc>
        <w:tc>
          <w:tcPr>
            <w:tcW w:type="dxa" w:w="2541"/>
            <w:vAlign w:val="center"/>
          </w:tcPr>
          <w:p>
            <w:r>
              <w:rPr>
                <w:sz w:val="13"/>
              </w:rPr>
              <w:t>Keep as categorical 3+ unless exact value is collected</w:t>
            </w:r>
          </w:p>
        </w:tc>
      </w:tr>
      <w:tr>
        <w:tc>
          <w:tcPr>
            <w:tcW w:type="dxa" w:w="2541"/>
            <w:vAlign w:val="center"/>
          </w:tcPr>
          <w:p>
            <w:r>
              <w:rPr>
                <w:sz w:val="13"/>
              </w:rPr>
              <w:t>Unusual numerical values</w:t>
            </w:r>
          </w:p>
        </w:tc>
        <w:tc>
          <w:tcPr>
            <w:tcW w:type="dxa" w:w="2541"/>
            <w:vAlign w:val="center"/>
          </w:tcPr>
          <w:p>
            <w:r>
              <w:rPr>
                <w:sz w:val="13"/>
              </w:rPr>
              <w:t>Income, LoanAmount and term extremes; term values including 0 or 1</w:t>
            </w:r>
          </w:p>
        </w:tc>
        <w:tc>
          <w:tcPr>
            <w:tcW w:type="dxa" w:w="2541"/>
            <w:vAlign w:val="center"/>
          </w:tcPr>
          <w:p>
            <w:r>
              <w:rPr>
                <w:sz w:val="13"/>
              </w:rPr>
              <w:t>May reflect valid cases, unit issues or keying errors</w:t>
            </w:r>
          </w:p>
        </w:tc>
        <w:tc>
          <w:tcPr>
            <w:tcW w:type="dxa" w:w="2541"/>
            <w:vAlign w:val="center"/>
          </w:tcPr>
          <w:p>
            <w:r>
              <w:rPr>
                <w:sz w:val="13"/>
              </w:rPr>
              <w:t>Perform range and unit checks; do not auto-delete</w:t>
            </w:r>
          </w:p>
        </w:tc>
      </w:tr>
      <w:tr>
        <w:tc>
          <w:tcPr>
            <w:tcW w:type="dxa" w:w="2541"/>
            <w:vAlign w:val="center"/>
          </w:tcPr>
          <w:p>
            <w:r>
              <w:rPr>
                <w:sz w:val="13"/>
              </w:rPr>
              <w:t>Undocumented units</w:t>
            </w:r>
          </w:p>
        </w:tc>
        <w:tc>
          <w:tcPr>
            <w:tcW w:type="dxa" w:w="2541"/>
            <w:vAlign w:val="center"/>
          </w:tcPr>
          <w:p>
            <w:r>
              <w:rPr>
                <w:sz w:val="13"/>
              </w:rPr>
              <w:t>Income and LoanAmount</w:t>
            </w:r>
          </w:p>
        </w:tc>
        <w:tc>
          <w:tcPr>
            <w:tcW w:type="dxa" w:w="2541"/>
            <w:vAlign w:val="center"/>
          </w:tcPr>
          <w:p>
            <w:r>
              <w:rPr>
                <w:sz w:val="13"/>
              </w:rPr>
              <w:t>Prevents currency and definitive affordability interpretation</w:t>
            </w:r>
          </w:p>
        </w:tc>
        <w:tc>
          <w:tcPr>
            <w:tcW w:type="dxa" w:w="2541"/>
            <w:vAlign w:val="center"/>
          </w:tcPr>
          <w:p>
            <w:r>
              <w:rPr>
                <w:sz w:val="13"/>
              </w:rPr>
              <w:t>Add data dictionary with unit and reporting period</w:t>
            </w:r>
          </w:p>
        </w:tc>
      </w:tr>
      <w:tr>
        <w:tc>
          <w:tcPr>
            <w:tcW w:type="dxa" w:w="2541"/>
            <w:vAlign w:val="center"/>
          </w:tcPr>
          <w:p>
            <w:r>
              <w:rPr>
                <w:sz w:val="13"/>
              </w:rPr>
              <w:t>Outcome-derived Risk_Category</w:t>
            </w:r>
          </w:p>
        </w:tc>
        <w:tc>
          <w:tcPr>
            <w:tcW w:type="dxa" w:w="2541"/>
            <w:vAlign w:val="center"/>
          </w:tcPr>
          <w:p>
            <w:r>
              <w:rPr>
                <w:sz w:val="13"/>
              </w:rPr>
              <w:t>Risk_Category appears related to status/credit fields</w:t>
            </w:r>
          </w:p>
        </w:tc>
        <w:tc>
          <w:tcPr>
            <w:tcW w:type="dxa" w:w="2541"/>
            <w:vAlign w:val="center"/>
          </w:tcPr>
          <w:p>
            <w:r>
              <w:rPr>
                <w:sz w:val="13"/>
              </w:rPr>
              <w:t>May create circular reporting if treated as independent risk result</w:t>
            </w:r>
          </w:p>
        </w:tc>
        <w:tc>
          <w:tcPr>
            <w:tcW w:type="dxa" w:w="2541"/>
            <w:vAlign w:val="center"/>
          </w:tcPr>
          <w:p>
            <w:r>
              <w:rPr>
                <w:sz w:val="13"/>
              </w:rPr>
              <w:t>Document derivation and exclude from predictive claims</w:t>
            </w:r>
          </w:p>
        </w:tc>
      </w:tr>
    </w:tbl>
    <w:p>
      <w:r>
        <w:t>Duplicate testing identified 0 repeated Loan_ID values. Unique IDs total 614 against 614 rows. Missing values were excluded only from calculations requiring that field; no missing value was imputed and no application was assumed rejected because information was missing.</w:t>
      </w:r>
    </w:p>
    <w:p>
      <w:r>
        <w:t>Sufficiency assessment: the workbook is adequate for descriptive approval-pattern analysis, but insufficient for comprehensive credit risk, loss, profitability or affordability assessment.</w:t>
      </w:r>
    </w:p>
    <w:p>
      <w:pPr>
        <w:pStyle w:val="Heading1"/>
      </w:pPr>
      <w:r>
        <w:t>3. Loan Application Portfolio Overview</w:t>
      </w:r>
    </w:p>
    <w:p>
      <w:pPr>
        <w:pStyle w:val="Heading2"/>
      </w:pPr>
      <w:r>
        <w:t>Education distribution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tcPr>
          <w:p>
            <w:r>
              <w:rPr>
                <w:b/>
                <w:color w:val="FFFFFF"/>
                <w:sz w:val="15"/>
              </w:rPr>
              <w:t>Education</w:t>
            </w:r>
          </w:p>
        </w:tc>
        <w:tc>
          <w:tcPr>
            <w:tcW w:type="dxa" w:w="3389"/>
            <w:shd w:fill="17365D"/>
          </w:tcPr>
          <w:p>
            <w:r>
              <w:rPr>
                <w:b/>
                <w:color w:val="FFFFFF"/>
                <w:sz w:val="15"/>
              </w:rPr>
              <w:t>Applications</w:t>
            </w:r>
          </w:p>
        </w:tc>
        <w:tc>
          <w:tcPr>
            <w:tcW w:type="dxa" w:w="3389"/>
            <w:shd w:fill="17365D"/>
          </w:tcPr>
          <w:p>
            <w:r>
              <w:rPr>
                <w:b/>
                <w:color w:val="FFFFFF"/>
                <w:sz w:val="15"/>
              </w:rPr>
              <w:t>Share of all applications</w:t>
            </w:r>
          </w:p>
        </w:tc>
      </w:tr>
      <w:tr>
        <w:tc>
          <w:tcPr>
            <w:tcW w:type="dxa" w:w="3389"/>
            <w:vAlign w:val="center"/>
          </w:tcPr>
          <w:p>
            <w:r>
              <w:rPr>
                <w:sz w:val="15"/>
              </w:rPr>
              <w:t>Graduate</w:t>
            </w:r>
          </w:p>
        </w:tc>
        <w:tc>
          <w:tcPr>
            <w:tcW w:type="dxa" w:w="3389"/>
            <w:vAlign w:val="center"/>
          </w:tcPr>
          <w:p>
            <w:r>
              <w:rPr>
                <w:sz w:val="15"/>
              </w:rPr>
              <w:t>480</w:t>
            </w:r>
          </w:p>
        </w:tc>
        <w:tc>
          <w:tcPr>
            <w:tcW w:type="dxa" w:w="3389"/>
            <w:vAlign w:val="center"/>
          </w:tcPr>
          <w:p>
            <w:r>
              <w:rPr>
                <w:sz w:val="15"/>
              </w:rPr>
              <w:t>78.2%</w:t>
            </w:r>
          </w:p>
        </w:tc>
      </w:tr>
      <w:tr>
        <w:tc>
          <w:tcPr>
            <w:tcW w:type="dxa" w:w="3389"/>
            <w:vAlign w:val="center"/>
          </w:tcPr>
          <w:p>
            <w:r>
              <w:rPr>
                <w:sz w:val="15"/>
              </w:rPr>
              <w:t>Not Graduate</w:t>
            </w:r>
          </w:p>
        </w:tc>
        <w:tc>
          <w:tcPr>
            <w:tcW w:type="dxa" w:w="3389"/>
            <w:vAlign w:val="center"/>
          </w:tcPr>
          <w:p>
            <w:r>
              <w:rPr>
                <w:sz w:val="15"/>
              </w:rPr>
              <w:t>134</w:t>
            </w:r>
          </w:p>
        </w:tc>
        <w:tc>
          <w:tcPr>
            <w:tcW w:type="dxa" w:w="3389"/>
            <w:vAlign w:val="center"/>
          </w:tcPr>
          <w:p>
            <w:r>
              <w:rPr>
                <w:sz w:val="15"/>
              </w:rPr>
              <w:t>21.8%</w:t>
            </w:r>
          </w:p>
        </w:tc>
      </w:tr>
    </w:tbl>
    <w:p>
      <w:pPr>
        <w:pStyle w:val="Heading2"/>
      </w:pPr>
      <w:r>
        <w:t>Marital status distribution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tcPr>
          <w:p>
            <w:r>
              <w:rPr>
                <w:b/>
                <w:color w:val="FFFFFF"/>
                <w:sz w:val="15"/>
              </w:rPr>
              <w:t>Marital status</w:t>
            </w:r>
          </w:p>
        </w:tc>
        <w:tc>
          <w:tcPr>
            <w:tcW w:type="dxa" w:w="3389"/>
            <w:shd w:fill="17365D"/>
          </w:tcPr>
          <w:p>
            <w:r>
              <w:rPr>
                <w:b/>
                <w:color w:val="FFFFFF"/>
                <w:sz w:val="15"/>
              </w:rPr>
              <w:t>Applications</w:t>
            </w:r>
          </w:p>
        </w:tc>
        <w:tc>
          <w:tcPr>
            <w:tcW w:type="dxa" w:w="3389"/>
            <w:shd w:fill="17365D"/>
          </w:tcPr>
          <w:p>
            <w:r>
              <w:rPr>
                <w:b/>
                <w:color w:val="FFFFFF"/>
                <w:sz w:val="15"/>
              </w:rPr>
              <w:t>Share of all applications</w:t>
            </w:r>
          </w:p>
        </w:tc>
      </w:tr>
      <w:tr>
        <w:tc>
          <w:tcPr>
            <w:tcW w:type="dxa" w:w="3389"/>
            <w:vAlign w:val="center"/>
          </w:tcPr>
          <w:p>
            <w:r>
              <w:rPr>
                <w:sz w:val="15"/>
              </w:rPr>
              <w:t>No</w:t>
            </w:r>
          </w:p>
        </w:tc>
        <w:tc>
          <w:tcPr>
            <w:tcW w:type="dxa" w:w="3389"/>
            <w:vAlign w:val="center"/>
          </w:tcPr>
          <w:p>
            <w:r>
              <w:rPr>
                <w:sz w:val="15"/>
              </w:rPr>
              <w:t>213</w:t>
            </w:r>
          </w:p>
        </w:tc>
        <w:tc>
          <w:tcPr>
            <w:tcW w:type="dxa" w:w="3389"/>
            <w:vAlign w:val="center"/>
          </w:tcPr>
          <w:p>
            <w:r>
              <w:rPr>
                <w:sz w:val="15"/>
              </w:rPr>
              <w:t>34.7%</w:t>
            </w:r>
          </w:p>
        </w:tc>
      </w:tr>
      <w:tr>
        <w:tc>
          <w:tcPr>
            <w:tcW w:type="dxa" w:w="3389"/>
            <w:vAlign w:val="center"/>
          </w:tcPr>
          <w:p>
            <w:r>
              <w:rPr>
                <w:sz w:val="15"/>
              </w:rPr>
              <w:t>Yes</w:t>
            </w:r>
          </w:p>
        </w:tc>
        <w:tc>
          <w:tcPr>
            <w:tcW w:type="dxa" w:w="3389"/>
            <w:vAlign w:val="center"/>
          </w:tcPr>
          <w:p>
            <w:r>
              <w:rPr>
                <w:sz w:val="15"/>
              </w:rPr>
              <w:t>398</w:t>
            </w:r>
          </w:p>
        </w:tc>
        <w:tc>
          <w:tcPr>
            <w:tcW w:type="dxa" w:w="3389"/>
            <w:vAlign w:val="center"/>
          </w:tcPr>
          <w:p>
            <w:r>
              <w:rPr>
                <w:sz w:val="15"/>
              </w:rPr>
              <w:t>64.8%</w:t>
            </w:r>
          </w:p>
        </w:tc>
      </w:tr>
      <w:tr>
        <w:tc>
          <w:tcPr>
            <w:tcW w:type="dxa" w:w="3389"/>
            <w:vAlign w:val="center"/>
          </w:tcPr>
          <w:p>
            <w:r>
              <w:rPr>
                <w:sz w:val="15"/>
              </w:rPr>
              <w:t>Missing</w:t>
            </w:r>
          </w:p>
        </w:tc>
        <w:tc>
          <w:tcPr>
            <w:tcW w:type="dxa" w:w="3389"/>
            <w:vAlign w:val="center"/>
          </w:tcPr>
          <w:p>
            <w:r>
              <w:rPr>
                <w:sz w:val="15"/>
              </w:rPr>
              <w:t>3</w:t>
            </w:r>
          </w:p>
        </w:tc>
        <w:tc>
          <w:tcPr>
            <w:tcW w:type="dxa" w:w="3389"/>
            <w:vAlign w:val="center"/>
          </w:tcPr>
          <w:p>
            <w:r>
              <w:rPr>
                <w:sz w:val="15"/>
              </w:rPr>
              <w:t>0.5%</w:t>
            </w:r>
          </w:p>
        </w:tc>
      </w:tr>
    </w:tbl>
    <w:p>
      <w:pPr>
        <w:pStyle w:val="Heading2"/>
      </w:pPr>
      <w:r>
        <w:t>Gender distribution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tcPr>
          <w:p>
            <w:r>
              <w:rPr>
                <w:b/>
                <w:color w:val="FFFFFF"/>
                <w:sz w:val="15"/>
              </w:rPr>
              <w:t>Gender</w:t>
            </w:r>
          </w:p>
        </w:tc>
        <w:tc>
          <w:tcPr>
            <w:tcW w:type="dxa" w:w="3389"/>
            <w:shd w:fill="17365D"/>
          </w:tcPr>
          <w:p>
            <w:r>
              <w:rPr>
                <w:b/>
                <w:color w:val="FFFFFF"/>
                <w:sz w:val="15"/>
              </w:rPr>
              <w:t>Applications</w:t>
            </w:r>
          </w:p>
        </w:tc>
        <w:tc>
          <w:tcPr>
            <w:tcW w:type="dxa" w:w="3389"/>
            <w:shd w:fill="17365D"/>
          </w:tcPr>
          <w:p>
            <w:r>
              <w:rPr>
                <w:b/>
                <w:color w:val="FFFFFF"/>
                <w:sz w:val="15"/>
              </w:rPr>
              <w:t>Share of all applications</w:t>
            </w:r>
          </w:p>
        </w:tc>
      </w:tr>
      <w:tr>
        <w:tc>
          <w:tcPr>
            <w:tcW w:type="dxa" w:w="3389"/>
            <w:vAlign w:val="center"/>
          </w:tcPr>
          <w:p>
            <w:r>
              <w:rPr>
                <w:sz w:val="15"/>
              </w:rPr>
              <w:t>Female</w:t>
            </w:r>
          </w:p>
        </w:tc>
        <w:tc>
          <w:tcPr>
            <w:tcW w:type="dxa" w:w="3389"/>
            <w:vAlign w:val="center"/>
          </w:tcPr>
          <w:p>
            <w:r>
              <w:rPr>
                <w:sz w:val="15"/>
              </w:rPr>
              <w:t>112</w:t>
            </w:r>
          </w:p>
        </w:tc>
        <w:tc>
          <w:tcPr>
            <w:tcW w:type="dxa" w:w="3389"/>
            <w:vAlign w:val="center"/>
          </w:tcPr>
          <w:p>
            <w:r>
              <w:rPr>
                <w:sz w:val="15"/>
              </w:rPr>
              <w:t>18.2%</w:t>
            </w:r>
          </w:p>
        </w:tc>
      </w:tr>
      <w:tr>
        <w:tc>
          <w:tcPr>
            <w:tcW w:type="dxa" w:w="3389"/>
            <w:vAlign w:val="center"/>
          </w:tcPr>
          <w:p>
            <w:r>
              <w:rPr>
                <w:sz w:val="15"/>
              </w:rPr>
              <w:t>Male</w:t>
            </w:r>
          </w:p>
        </w:tc>
        <w:tc>
          <w:tcPr>
            <w:tcW w:type="dxa" w:w="3389"/>
            <w:vAlign w:val="center"/>
          </w:tcPr>
          <w:p>
            <w:r>
              <w:rPr>
                <w:sz w:val="15"/>
              </w:rPr>
              <w:t>489</w:t>
            </w:r>
          </w:p>
        </w:tc>
        <w:tc>
          <w:tcPr>
            <w:tcW w:type="dxa" w:w="3389"/>
            <w:vAlign w:val="center"/>
          </w:tcPr>
          <w:p>
            <w:r>
              <w:rPr>
                <w:sz w:val="15"/>
              </w:rPr>
              <w:t>79.6%</w:t>
            </w:r>
          </w:p>
        </w:tc>
      </w:tr>
      <w:tr>
        <w:tc>
          <w:tcPr>
            <w:tcW w:type="dxa" w:w="3389"/>
            <w:vAlign w:val="center"/>
          </w:tcPr>
          <w:p>
            <w:r>
              <w:rPr>
                <w:sz w:val="15"/>
              </w:rPr>
              <w:t>Missing</w:t>
            </w:r>
          </w:p>
        </w:tc>
        <w:tc>
          <w:tcPr>
            <w:tcW w:type="dxa" w:w="3389"/>
            <w:vAlign w:val="center"/>
          </w:tcPr>
          <w:p>
            <w:r>
              <w:rPr>
                <w:sz w:val="15"/>
              </w:rPr>
              <w:t>13</w:t>
            </w:r>
          </w:p>
        </w:tc>
        <w:tc>
          <w:tcPr>
            <w:tcW w:type="dxa" w:w="3389"/>
            <w:vAlign w:val="center"/>
          </w:tcPr>
          <w:p>
            <w:r>
              <w:rPr>
                <w:sz w:val="15"/>
              </w:rPr>
              <w:t>2.1%</w:t>
            </w:r>
          </w:p>
        </w:tc>
      </w:tr>
    </w:tbl>
    <w:p>
      <w:pPr>
        <w:pStyle w:val="Heading2"/>
      </w:pPr>
      <w:r>
        <w:t>Self-employment distribution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tcPr>
          <w:p>
            <w:r>
              <w:rPr>
                <w:b/>
                <w:color w:val="FFFFFF"/>
                <w:sz w:val="15"/>
              </w:rPr>
              <w:t>Self-employment</w:t>
            </w:r>
          </w:p>
        </w:tc>
        <w:tc>
          <w:tcPr>
            <w:tcW w:type="dxa" w:w="3389"/>
            <w:shd w:fill="17365D"/>
          </w:tcPr>
          <w:p>
            <w:r>
              <w:rPr>
                <w:b/>
                <w:color w:val="FFFFFF"/>
                <w:sz w:val="15"/>
              </w:rPr>
              <w:t>Applications</w:t>
            </w:r>
          </w:p>
        </w:tc>
        <w:tc>
          <w:tcPr>
            <w:tcW w:type="dxa" w:w="3389"/>
            <w:shd w:fill="17365D"/>
          </w:tcPr>
          <w:p>
            <w:r>
              <w:rPr>
                <w:b/>
                <w:color w:val="FFFFFF"/>
                <w:sz w:val="15"/>
              </w:rPr>
              <w:t>Share of all applications</w:t>
            </w:r>
          </w:p>
        </w:tc>
      </w:tr>
      <w:tr>
        <w:tc>
          <w:tcPr>
            <w:tcW w:type="dxa" w:w="3389"/>
            <w:vAlign w:val="center"/>
          </w:tcPr>
          <w:p>
            <w:r>
              <w:rPr>
                <w:sz w:val="15"/>
              </w:rPr>
              <w:t>No</w:t>
            </w:r>
          </w:p>
        </w:tc>
        <w:tc>
          <w:tcPr>
            <w:tcW w:type="dxa" w:w="3389"/>
            <w:vAlign w:val="center"/>
          </w:tcPr>
          <w:p>
            <w:r>
              <w:rPr>
                <w:sz w:val="15"/>
              </w:rPr>
              <w:t>500</w:t>
            </w:r>
          </w:p>
        </w:tc>
        <w:tc>
          <w:tcPr>
            <w:tcW w:type="dxa" w:w="3389"/>
            <w:vAlign w:val="center"/>
          </w:tcPr>
          <w:p>
            <w:r>
              <w:rPr>
                <w:sz w:val="15"/>
              </w:rPr>
              <w:t>81.4%</w:t>
            </w:r>
          </w:p>
        </w:tc>
      </w:tr>
      <w:tr>
        <w:tc>
          <w:tcPr>
            <w:tcW w:type="dxa" w:w="3389"/>
            <w:vAlign w:val="center"/>
          </w:tcPr>
          <w:p>
            <w:r>
              <w:rPr>
                <w:sz w:val="15"/>
              </w:rPr>
              <w:t>Yes</w:t>
            </w:r>
          </w:p>
        </w:tc>
        <w:tc>
          <w:tcPr>
            <w:tcW w:type="dxa" w:w="3389"/>
            <w:vAlign w:val="center"/>
          </w:tcPr>
          <w:p>
            <w:r>
              <w:rPr>
                <w:sz w:val="15"/>
              </w:rPr>
              <w:t>82</w:t>
            </w:r>
          </w:p>
        </w:tc>
        <w:tc>
          <w:tcPr>
            <w:tcW w:type="dxa" w:w="3389"/>
            <w:vAlign w:val="center"/>
          </w:tcPr>
          <w:p>
            <w:r>
              <w:rPr>
                <w:sz w:val="15"/>
              </w:rPr>
              <w:t>13.4%</w:t>
            </w:r>
          </w:p>
        </w:tc>
      </w:tr>
      <w:tr>
        <w:tc>
          <w:tcPr>
            <w:tcW w:type="dxa" w:w="3389"/>
            <w:vAlign w:val="center"/>
          </w:tcPr>
          <w:p>
            <w:r>
              <w:rPr>
                <w:sz w:val="15"/>
              </w:rPr>
              <w:t>Missing</w:t>
            </w:r>
          </w:p>
        </w:tc>
        <w:tc>
          <w:tcPr>
            <w:tcW w:type="dxa" w:w="3389"/>
            <w:vAlign w:val="center"/>
          </w:tcPr>
          <w:p>
            <w:r>
              <w:rPr>
                <w:sz w:val="15"/>
              </w:rPr>
              <w:t>32</w:t>
            </w:r>
          </w:p>
        </w:tc>
        <w:tc>
          <w:tcPr>
            <w:tcW w:type="dxa" w:w="3389"/>
            <w:vAlign w:val="center"/>
          </w:tcPr>
          <w:p>
            <w:r>
              <w:rPr>
                <w:sz w:val="15"/>
              </w:rPr>
              <w:t>5.2%</w:t>
            </w:r>
          </w:p>
        </w:tc>
      </w:tr>
    </w:tbl>
    <w:p>
      <w:pPr>
        <w:pStyle w:val="Heading2"/>
      </w:pPr>
      <w:r>
        <w:t>Property area distribution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tcPr>
          <w:p>
            <w:r>
              <w:rPr>
                <w:b/>
                <w:color w:val="FFFFFF"/>
                <w:sz w:val="15"/>
              </w:rPr>
              <w:t>Property area</w:t>
            </w:r>
          </w:p>
        </w:tc>
        <w:tc>
          <w:tcPr>
            <w:tcW w:type="dxa" w:w="3389"/>
            <w:shd w:fill="17365D"/>
          </w:tcPr>
          <w:p>
            <w:r>
              <w:rPr>
                <w:b/>
                <w:color w:val="FFFFFF"/>
                <w:sz w:val="15"/>
              </w:rPr>
              <w:t>Applications</w:t>
            </w:r>
          </w:p>
        </w:tc>
        <w:tc>
          <w:tcPr>
            <w:tcW w:type="dxa" w:w="3389"/>
            <w:shd w:fill="17365D"/>
          </w:tcPr>
          <w:p>
            <w:r>
              <w:rPr>
                <w:b/>
                <w:color w:val="FFFFFF"/>
                <w:sz w:val="15"/>
              </w:rPr>
              <w:t>Share of all applications</w:t>
            </w:r>
          </w:p>
        </w:tc>
      </w:tr>
      <w:tr>
        <w:tc>
          <w:tcPr>
            <w:tcW w:type="dxa" w:w="3389"/>
            <w:vAlign w:val="center"/>
          </w:tcPr>
          <w:p>
            <w:r>
              <w:rPr>
                <w:sz w:val="15"/>
              </w:rPr>
              <w:t>Rural</w:t>
            </w:r>
          </w:p>
        </w:tc>
        <w:tc>
          <w:tcPr>
            <w:tcW w:type="dxa" w:w="3389"/>
            <w:vAlign w:val="center"/>
          </w:tcPr>
          <w:p>
            <w:r>
              <w:rPr>
                <w:sz w:val="15"/>
              </w:rPr>
              <w:t>179</w:t>
            </w:r>
          </w:p>
        </w:tc>
        <w:tc>
          <w:tcPr>
            <w:tcW w:type="dxa" w:w="3389"/>
            <w:vAlign w:val="center"/>
          </w:tcPr>
          <w:p>
            <w:r>
              <w:rPr>
                <w:sz w:val="15"/>
              </w:rPr>
              <w:t>29.2%</w:t>
            </w:r>
          </w:p>
        </w:tc>
      </w:tr>
      <w:tr>
        <w:tc>
          <w:tcPr>
            <w:tcW w:type="dxa" w:w="3389"/>
            <w:vAlign w:val="center"/>
          </w:tcPr>
          <w:p>
            <w:r>
              <w:rPr>
                <w:sz w:val="15"/>
              </w:rPr>
              <w:t>Semiurban</w:t>
            </w:r>
          </w:p>
        </w:tc>
        <w:tc>
          <w:tcPr>
            <w:tcW w:type="dxa" w:w="3389"/>
            <w:vAlign w:val="center"/>
          </w:tcPr>
          <w:p>
            <w:r>
              <w:rPr>
                <w:sz w:val="15"/>
              </w:rPr>
              <w:t>233</w:t>
            </w:r>
          </w:p>
        </w:tc>
        <w:tc>
          <w:tcPr>
            <w:tcW w:type="dxa" w:w="3389"/>
            <w:vAlign w:val="center"/>
          </w:tcPr>
          <w:p>
            <w:r>
              <w:rPr>
                <w:sz w:val="15"/>
              </w:rPr>
              <w:t>37.9%</w:t>
            </w:r>
          </w:p>
        </w:tc>
      </w:tr>
      <w:tr>
        <w:tc>
          <w:tcPr>
            <w:tcW w:type="dxa" w:w="3389"/>
            <w:vAlign w:val="center"/>
          </w:tcPr>
          <w:p>
            <w:r>
              <w:rPr>
                <w:sz w:val="15"/>
              </w:rPr>
              <w:t>Urban</w:t>
            </w:r>
          </w:p>
        </w:tc>
        <w:tc>
          <w:tcPr>
            <w:tcW w:type="dxa" w:w="3389"/>
            <w:vAlign w:val="center"/>
          </w:tcPr>
          <w:p>
            <w:r>
              <w:rPr>
                <w:sz w:val="15"/>
              </w:rPr>
              <w:t>202</w:t>
            </w:r>
          </w:p>
        </w:tc>
        <w:tc>
          <w:tcPr>
            <w:tcW w:type="dxa" w:w="3389"/>
            <w:vAlign w:val="center"/>
          </w:tcPr>
          <w:p>
            <w:r>
              <w:rPr>
                <w:sz w:val="15"/>
              </w:rPr>
              <w:t>32.9%</w:t>
            </w:r>
          </w:p>
        </w:tc>
      </w:tr>
    </w:tbl>
    <w:p>
      <w:pPr>
        <w:pStyle w:val="Heading2"/>
      </w:pPr>
      <w:r>
        <w:t>Credit history distribution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tcPr>
          <w:p>
            <w:r>
              <w:rPr>
                <w:b/>
                <w:color w:val="FFFFFF"/>
                <w:sz w:val="15"/>
              </w:rPr>
              <w:t>Credit history</w:t>
            </w:r>
          </w:p>
        </w:tc>
        <w:tc>
          <w:tcPr>
            <w:tcW w:type="dxa" w:w="3389"/>
            <w:shd w:fill="17365D"/>
          </w:tcPr>
          <w:p>
            <w:r>
              <w:rPr>
                <w:b/>
                <w:color w:val="FFFFFF"/>
                <w:sz w:val="15"/>
              </w:rPr>
              <w:t>Applications</w:t>
            </w:r>
          </w:p>
        </w:tc>
        <w:tc>
          <w:tcPr>
            <w:tcW w:type="dxa" w:w="3389"/>
            <w:shd w:fill="17365D"/>
          </w:tcPr>
          <w:p>
            <w:r>
              <w:rPr>
                <w:b/>
                <w:color w:val="FFFFFF"/>
                <w:sz w:val="15"/>
              </w:rPr>
              <w:t>Share of all applications</w:t>
            </w:r>
          </w:p>
        </w:tc>
      </w:tr>
      <w:tr>
        <w:tc>
          <w:tcPr>
            <w:tcW w:type="dxa" w:w="3389"/>
            <w:vAlign w:val="center"/>
          </w:tcPr>
          <w:p>
            <w:r>
              <w:rPr>
                <w:sz w:val="15"/>
              </w:rPr>
              <w:t>0.0</w:t>
            </w:r>
          </w:p>
        </w:tc>
        <w:tc>
          <w:tcPr>
            <w:tcW w:type="dxa" w:w="3389"/>
            <w:vAlign w:val="center"/>
          </w:tcPr>
          <w:p>
            <w:r>
              <w:rPr>
                <w:sz w:val="15"/>
              </w:rPr>
              <w:t>89</w:t>
            </w:r>
          </w:p>
        </w:tc>
        <w:tc>
          <w:tcPr>
            <w:tcW w:type="dxa" w:w="3389"/>
            <w:vAlign w:val="center"/>
          </w:tcPr>
          <w:p>
            <w:r>
              <w:rPr>
                <w:sz w:val="15"/>
              </w:rPr>
              <w:t>14.5%</w:t>
            </w:r>
          </w:p>
        </w:tc>
      </w:tr>
      <w:tr>
        <w:tc>
          <w:tcPr>
            <w:tcW w:type="dxa" w:w="3389"/>
            <w:vAlign w:val="center"/>
          </w:tcPr>
          <w:p>
            <w:r>
              <w:rPr>
                <w:sz w:val="15"/>
              </w:rPr>
              <w:t>1.0</w:t>
            </w:r>
          </w:p>
        </w:tc>
        <w:tc>
          <w:tcPr>
            <w:tcW w:type="dxa" w:w="3389"/>
            <w:vAlign w:val="center"/>
          </w:tcPr>
          <w:p>
            <w:r>
              <w:rPr>
                <w:sz w:val="15"/>
              </w:rPr>
              <w:t>475</w:t>
            </w:r>
          </w:p>
        </w:tc>
        <w:tc>
          <w:tcPr>
            <w:tcW w:type="dxa" w:w="3389"/>
            <w:vAlign w:val="center"/>
          </w:tcPr>
          <w:p>
            <w:r>
              <w:rPr>
                <w:sz w:val="15"/>
              </w:rPr>
              <w:t>77.4%</w:t>
            </w:r>
          </w:p>
        </w:tc>
      </w:tr>
      <w:tr>
        <w:tc>
          <w:tcPr>
            <w:tcW w:type="dxa" w:w="3389"/>
            <w:vAlign w:val="center"/>
          </w:tcPr>
          <w:p>
            <w:r>
              <w:rPr>
                <w:sz w:val="15"/>
              </w:rPr>
              <w:t>Missing</w:t>
            </w:r>
          </w:p>
        </w:tc>
        <w:tc>
          <w:tcPr>
            <w:tcW w:type="dxa" w:w="3389"/>
            <w:vAlign w:val="center"/>
          </w:tcPr>
          <w:p>
            <w:r>
              <w:rPr>
                <w:sz w:val="15"/>
              </w:rPr>
              <w:t>50</w:t>
            </w:r>
          </w:p>
        </w:tc>
        <w:tc>
          <w:tcPr>
            <w:tcW w:type="dxa" w:w="3389"/>
            <w:vAlign w:val="center"/>
          </w:tcPr>
          <w:p>
            <w:r>
              <w:rPr>
                <w:sz w:val="15"/>
              </w:rPr>
              <w:t>8.1%</w:t>
            </w:r>
          </w:p>
        </w:tc>
      </w:tr>
    </w:tbl>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17365D"/>
          </w:tcPr>
          <w:p>
            <w:r>
              <w:rPr>
                <w:b/>
                <w:color w:val="FFFFFF"/>
                <w:sz w:val="15"/>
              </w:rPr>
              <w:t>Field</w:t>
            </w:r>
          </w:p>
        </w:tc>
        <w:tc>
          <w:tcPr>
            <w:tcW w:type="dxa" w:w="1694"/>
            <w:shd w:fill="17365D"/>
          </w:tcPr>
          <w:p>
            <w:r>
              <w:rPr>
                <w:b/>
                <w:color w:val="FFFFFF"/>
                <w:sz w:val="15"/>
              </w:rPr>
              <w:t>Valid n</w:t>
            </w:r>
          </w:p>
        </w:tc>
        <w:tc>
          <w:tcPr>
            <w:tcW w:type="dxa" w:w="1694"/>
            <w:shd w:fill="17365D"/>
          </w:tcPr>
          <w:p>
            <w:r>
              <w:rPr>
                <w:b/>
                <w:color w:val="FFFFFF"/>
                <w:sz w:val="15"/>
              </w:rPr>
              <w:t>Mean</w:t>
            </w:r>
          </w:p>
        </w:tc>
        <w:tc>
          <w:tcPr>
            <w:tcW w:type="dxa" w:w="1694"/>
            <w:shd w:fill="17365D"/>
          </w:tcPr>
          <w:p>
            <w:r>
              <w:rPr>
                <w:b/>
                <w:color w:val="FFFFFF"/>
                <w:sz w:val="15"/>
              </w:rPr>
              <w:t>Median</w:t>
            </w:r>
          </w:p>
        </w:tc>
        <w:tc>
          <w:tcPr>
            <w:tcW w:type="dxa" w:w="1694"/>
            <w:shd w:fill="17365D"/>
          </w:tcPr>
          <w:p>
            <w:r>
              <w:rPr>
                <w:b/>
                <w:color w:val="FFFFFF"/>
                <w:sz w:val="15"/>
              </w:rPr>
              <w:t>Minimum</w:t>
            </w:r>
          </w:p>
        </w:tc>
        <w:tc>
          <w:tcPr>
            <w:tcW w:type="dxa" w:w="1694"/>
            <w:shd w:fill="17365D"/>
          </w:tcPr>
          <w:p>
            <w:r>
              <w:rPr>
                <w:b/>
                <w:color w:val="FFFFFF"/>
                <w:sz w:val="15"/>
              </w:rPr>
              <w:t>Maximum</w:t>
            </w:r>
          </w:p>
        </w:tc>
      </w:tr>
      <w:tr>
        <w:tc>
          <w:tcPr>
            <w:tcW w:type="dxa" w:w="1694"/>
            <w:vAlign w:val="center"/>
          </w:tcPr>
          <w:p>
            <w:r>
              <w:rPr>
                <w:sz w:val="15"/>
              </w:rPr>
              <w:t>ApplicantIncome</w:t>
            </w:r>
          </w:p>
        </w:tc>
        <w:tc>
          <w:tcPr>
            <w:tcW w:type="dxa" w:w="1694"/>
            <w:vAlign w:val="center"/>
          </w:tcPr>
          <w:p>
            <w:r>
              <w:rPr>
                <w:sz w:val="15"/>
              </w:rPr>
              <w:t>614</w:t>
            </w:r>
          </w:p>
        </w:tc>
        <w:tc>
          <w:tcPr>
            <w:tcW w:type="dxa" w:w="1694"/>
            <w:vAlign w:val="center"/>
          </w:tcPr>
          <w:p>
            <w:r>
              <w:rPr>
                <w:sz w:val="15"/>
              </w:rPr>
              <w:t>5,403.5</w:t>
            </w:r>
          </w:p>
        </w:tc>
        <w:tc>
          <w:tcPr>
            <w:tcW w:type="dxa" w:w="1694"/>
            <w:vAlign w:val="center"/>
          </w:tcPr>
          <w:p>
            <w:r>
              <w:rPr>
                <w:sz w:val="15"/>
              </w:rPr>
              <w:t>3,812.5</w:t>
            </w:r>
          </w:p>
        </w:tc>
        <w:tc>
          <w:tcPr>
            <w:tcW w:type="dxa" w:w="1694"/>
            <w:vAlign w:val="center"/>
          </w:tcPr>
          <w:p>
            <w:r>
              <w:rPr>
                <w:sz w:val="15"/>
              </w:rPr>
              <w:t>150.0</w:t>
            </w:r>
          </w:p>
        </w:tc>
        <w:tc>
          <w:tcPr>
            <w:tcW w:type="dxa" w:w="1694"/>
            <w:vAlign w:val="center"/>
          </w:tcPr>
          <w:p>
            <w:r>
              <w:rPr>
                <w:sz w:val="15"/>
              </w:rPr>
              <w:t>81,000.0</w:t>
            </w:r>
          </w:p>
        </w:tc>
      </w:tr>
      <w:tr>
        <w:tc>
          <w:tcPr>
            <w:tcW w:type="dxa" w:w="1694"/>
            <w:vAlign w:val="center"/>
          </w:tcPr>
          <w:p>
            <w:r>
              <w:rPr>
                <w:sz w:val="15"/>
              </w:rPr>
              <w:t>CoapplicantIncome</w:t>
            </w:r>
          </w:p>
        </w:tc>
        <w:tc>
          <w:tcPr>
            <w:tcW w:type="dxa" w:w="1694"/>
            <w:vAlign w:val="center"/>
          </w:tcPr>
          <w:p>
            <w:r>
              <w:rPr>
                <w:sz w:val="15"/>
              </w:rPr>
              <w:t>614</w:t>
            </w:r>
          </w:p>
        </w:tc>
        <w:tc>
          <w:tcPr>
            <w:tcW w:type="dxa" w:w="1694"/>
            <w:vAlign w:val="center"/>
          </w:tcPr>
          <w:p>
            <w:r>
              <w:rPr>
                <w:sz w:val="15"/>
              </w:rPr>
              <w:t>1,621.2</w:t>
            </w:r>
          </w:p>
        </w:tc>
        <w:tc>
          <w:tcPr>
            <w:tcW w:type="dxa" w:w="1694"/>
            <w:vAlign w:val="center"/>
          </w:tcPr>
          <w:p>
            <w:r>
              <w:rPr>
                <w:sz w:val="15"/>
              </w:rPr>
              <w:t>1,188.5</w:t>
            </w:r>
          </w:p>
        </w:tc>
        <w:tc>
          <w:tcPr>
            <w:tcW w:type="dxa" w:w="1694"/>
            <w:vAlign w:val="center"/>
          </w:tcPr>
          <w:p>
            <w:r>
              <w:rPr>
                <w:sz w:val="15"/>
              </w:rPr>
              <w:t>0.0</w:t>
            </w:r>
          </w:p>
        </w:tc>
        <w:tc>
          <w:tcPr>
            <w:tcW w:type="dxa" w:w="1694"/>
            <w:vAlign w:val="center"/>
          </w:tcPr>
          <w:p>
            <w:r>
              <w:rPr>
                <w:sz w:val="15"/>
              </w:rPr>
              <w:t>41,667.0</w:t>
            </w:r>
          </w:p>
        </w:tc>
      </w:tr>
      <w:tr>
        <w:tc>
          <w:tcPr>
            <w:tcW w:type="dxa" w:w="1694"/>
            <w:vAlign w:val="center"/>
          </w:tcPr>
          <w:p>
            <w:r>
              <w:rPr>
                <w:sz w:val="15"/>
              </w:rPr>
              <w:t>CombinedIncome</w:t>
            </w:r>
          </w:p>
        </w:tc>
        <w:tc>
          <w:tcPr>
            <w:tcW w:type="dxa" w:w="1694"/>
            <w:vAlign w:val="center"/>
          </w:tcPr>
          <w:p>
            <w:r>
              <w:rPr>
                <w:sz w:val="15"/>
              </w:rPr>
              <w:t>614</w:t>
            </w:r>
          </w:p>
        </w:tc>
        <w:tc>
          <w:tcPr>
            <w:tcW w:type="dxa" w:w="1694"/>
            <w:vAlign w:val="center"/>
          </w:tcPr>
          <w:p>
            <w:r>
              <w:rPr>
                <w:sz w:val="15"/>
              </w:rPr>
              <w:t>7,024.7</w:t>
            </w:r>
          </w:p>
        </w:tc>
        <w:tc>
          <w:tcPr>
            <w:tcW w:type="dxa" w:w="1694"/>
            <w:vAlign w:val="center"/>
          </w:tcPr>
          <w:p>
            <w:r>
              <w:rPr>
                <w:sz w:val="15"/>
              </w:rPr>
              <w:t>5,416.5</w:t>
            </w:r>
          </w:p>
        </w:tc>
        <w:tc>
          <w:tcPr>
            <w:tcW w:type="dxa" w:w="1694"/>
            <w:vAlign w:val="center"/>
          </w:tcPr>
          <w:p>
            <w:r>
              <w:rPr>
                <w:sz w:val="15"/>
              </w:rPr>
              <w:t>1,442.0</w:t>
            </w:r>
          </w:p>
        </w:tc>
        <w:tc>
          <w:tcPr>
            <w:tcW w:type="dxa" w:w="1694"/>
            <w:vAlign w:val="center"/>
          </w:tcPr>
          <w:p>
            <w:r>
              <w:rPr>
                <w:sz w:val="15"/>
              </w:rPr>
              <w:t>81,000.0</w:t>
            </w:r>
          </w:p>
        </w:tc>
      </w:tr>
      <w:tr>
        <w:tc>
          <w:tcPr>
            <w:tcW w:type="dxa" w:w="1694"/>
            <w:vAlign w:val="center"/>
          </w:tcPr>
          <w:p>
            <w:r>
              <w:rPr>
                <w:sz w:val="15"/>
              </w:rPr>
              <w:t>LoanAmount</w:t>
            </w:r>
          </w:p>
        </w:tc>
        <w:tc>
          <w:tcPr>
            <w:tcW w:type="dxa" w:w="1694"/>
            <w:vAlign w:val="center"/>
          </w:tcPr>
          <w:p>
            <w:r>
              <w:rPr>
                <w:sz w:val="15"/>
              </w:rPr>
              <w:t>592</w:t>
            </w:r>
          </w:p>
        </w:tc>
        <w:tc>
          <w:tcPr>
            <w:tcW w:type="dxa" w:w="1694"/>
            <w:vAlign w:val="center"/>
          </w:tcPr>
          <w:p>
            <w:r>
              <w:rPr>
                <w:sz w:val="15"/>
              </w:rPr>
              <w:t>146.4</w:t>
            </w:r>
          </w:p>
        </w:tc>
        <w:tc>
          <w:tcPr>
            <w:tcW w:type="dxa" w:w="1694"/>
            <w:vAlign w:val="center"/>
          </w:tcPr>
          <w:p>
            <w:r>
              <w:rPr>
                <w:sz w:val="15"/>
              </w:rPr>
              <w:t>128.0</w:t>
            </w:r>
          </w:p>
        </w:tc>
        <w:tc>
          <w:tcPr>
            <w:tcW w:type="dxa" w:w="1694"/>
            <w:vAlign w:val="center"/>
          </w:tcPr>
          <w:p>
            <w:r>
              <w:rPr>
                <w:sz w:val="15"/>
              </w:rPr>
              <w:t>9.0</w:t>
            </w:r>
          </w:p>
        </w:tc>
        <w:tc>
          <w:tcPr>
            <w:tcW w:type="dxa" w:w="1694"/>
            <w:vAlign w:val="center"/>
          </w:tcPr>
          <w:p>
            <w:r>
              <w:rPr>
                <w:sz w:val="15"/>
              </w:rPr>
              <w:t>700.0</w:t>
            </w:r>
          </w:p>
        </w:tc>
      </w:tr>
      <w:tr>
        <w:tc>
          <w:tcPr>
            <w:tcW w:type="dxa" w:w="1694"/>
            <w:vAlign w:val="center"/>
          </w:tcPr>
          <w:p>
            <w:r>
              <w:rPr>
                <w:sz w:val="15"/>
              </w:rPr>
              <w:t>Loan_Amount_Term</w:t>
            </w:r>
          </w:p>
        </w:tc>
        <w:tc>
          <w:tcPr>
            <w:tcW w:type="dxa" w:w="1694"/>
            <w:vAlign w:val="center"/>
          </w:tcPr>
          <w:p>
            <w:r>
              <w:rPr>
                <w:sz w:val="15"/>
              </w:rPr>
              <w:t>600</w:t>
            </w:r>
          </w:p>
        </w:tc>
        <w:tc>
          <w:tcPr>
            <w:tcW w:type="dxa" w:w="1694"/>
            <w:vAlign w:val="center"/>
          </w:tcPr>
          <w:p>
            <w:r>
              <w:rPr>
                <w:sz w:val="15"/>
              </w:rPr>
              <w:t>342.0</w:t>
            </w:r>
          </w:p>
        </w:tc>
        <w:tc>
          <w:tcPr>
            <w:tcW w:type="dxa" w:w="1694"/>
            <w:vAlign w:val="center"/>
          </w:tcPr>
          <w:p>
            <w:r>
              <w:rPr>
                <w:sz w:val="15"/>
              </w:rPr>
              <w:t>360.0</w:t>
            </w:r>
          </w:p>
        </w:tc>
        <w:tc>
          <w:tcPr>
            <w:tcW w:type="dxa" w:w="1694"/>
            <w:vAlign w:val="center"/>
          </w:tcPr>
          <w:p>
            <w:r>
              <w:rPr>
                <w:sz w:val="15"/>
              </w:rPr>
              <w:t>12.0</w:t>
            </w:r>
          </w:p>
        </w:tc>
        <w:tc>
          <w:tcPr>
            <w:tcW w:type="dxa" w:w="1694"/>
            <w:vAlign w:val="center"/>
          </w:tcPr>
          <w:p>
            <w:r>
              <w:rPr>
                <w:sz w:val="15"/>
              </w:rPr>
              <w:t>480.0</w:t>
            </w:r>
          </w:p>
        </w:tc>
      </w:tr>
    </w:tbl>
    <w:p>
      <w:pPr>
        <w:jc w:val="center"/>
      </w:pPr>
      <w:r>
        <w:drawing>
          <wp:inline xmlns:a="http://schemas.openxmlformats.org/drawingml/2006/main" xmlns:pic="http://schemas.openxmlformats.org/drawingml/2006/picture">
            <wp:extent cx="5303520" cy="3019173"/>
            <wp:docPr id="2" name="Picture 2"/>
            <wp:cNvGraphicFramePr>
              <a:graphicFrameLocks noChangeAspect="1"/>
            </wp:cNvGraphicFramePr>
            <a:graphic>
              <a:graphicData uri="http://schemas.openxmlformats.org/drawingml/2006/picture">
                <pic:pic>
                  <pic:nvPicPr>
                    <pic:cNvPr id="0" name="chart_income.png"/>
                    <pic:cNvPicPr/>
                  </pic:nvPicPr>
                  <pic:blipFill>
                    <a:blip r:embed="rId11"/>
                    <a:stretch>
                      <a:fillRect/>
                    </a:stretch>
                  </pic:blipFill>
                  <pic:spPr>
                    <a:xfrm>
                      <a:off x="0" y="0"/>
                      <a:ext cx="5303520" cy="3019173"/>
                    </a:xfrm>
                    <a:prstGeom prst="rect"/>
                  </pic:spPr>
                </pic:pic>
              </a:graphicData>
            </a:graphic>
          </wp:inline>
        </w:drawing>
      </w:r>
    </w:p>
    <w:p>
      <w:pPr>
        <w:jc w:val="center"/>
      </w:pPr>
      <w:r>
        <w:rPr>
          <w:b/>
        </w:rPr>
        <w:t>Figure 2. Applicant income distribution</w:t>
      </w:r>
    </w:p>
    <w:p>
      <w:r>
        <w:t>Interpretation: The distribution is right-skewed; a small number of high reported values raise the mean above the median.</w:t>
      </w:r>
    </w:p>
    <w:p>
      <w:pPr>
        <w:pStyle w:val="Heading1"/>
      </w:pPr>
      <w:r>
        <w:t>4. Loan Approval and Rejection Analysis</w:t>
      </w:r>
    </w:p>
    <w:p>
      <w:pPr>
        <w:pStyle w:val="Heading2"/>
      </w:pPr>
      <w:r>
        <w:t>Credit history</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shd w:fill="17365D"/>
          </w:tcPr>
          <w:p>
            <w:r>
              <w:rPr>
                <w:b/>
                <w:color w:val="FFFFFF"/>
                <w:sz w:val="13"/>
              </w:rPr>
              <w:t>Credit history</w:t>
            </w:r>
          </w:p>
        </w:tc>
        <w:tc>
          <w:tcPr>
            <w:tcW w:type="dxa" w:w="1452"/>
            <w:shd w:fill="17365D"/>
          </w:tcPr>
          <w:p>
            <w:r>
              <w:rPr>
                <w:b/>
                <w:color w:val="FFFFFF"/>
                <w:sz w:val="13"/>
              </w:rPr>
              <w:t>Applications</w:t>
            </w:r>
          </w:p>
        </w:tc>
        <w:tc>
          <w:tcPr>
            <w:tcW w:type="dxa" w:w="1452"/>
            <w:shd w:fill="17365D"/>
          </w:tcPr>
          <w:p>
            <w:r>
              <w:rPr>
                <w:b/>
                <w:color w:val="FFFFFF"/>
                <w:sz w:val="13"/>
              </w:rPr>
              <w:t>Approved</w:t>
            </w:r>
          </w:p>
        </w:tc>
        <w:tc>
          <w:tcPr>
            <w:tcW w:type="dxa" w:w="1452"/>
            <w:shd w:fill="17365D"/>
          </w:tcPr>
          <w:p>
            <w:r>
              <w:rPr>
                <w:b/>
                <w:color w:val="FFFFFF"/>
                <w:sz w:val="13"/>
              </w:rPr>
              <w:t>Rejected</w:t>
            </w:r>
          </w:p>
        </w:tc>
        <w:tc>
          <w:tcPr>
            <w:tcW w:type="dxa" w:w="1452"/>
            <w:shd w:fill="17365D"/>
          </w:tcPr>
          <w:p>
            <w:r>
              <w:rPr>
                <w:b/>
                <w:color w:val="FFFFFF"/>
                <w:sz w:val="13"/>
              </w:rPr>
              <w:t>Approval rate</w:t>
            </w:r>
          </w:p>
        </w:tc>
        <w:tc>
          <w:tcPr>
            <w:tcW w:type="dxa" w:w="1452"/>
            <w:shd w:fill="17365D"/>
          </w:tcPr>
          <w:p>
            <w:r>
              <w:rPr>
                <w:b/>
                <w:color w:val="FFFFFF"/>
                <w:sz w:val="13"/>
              </w:rPr>
              <w:t>Rejection rate</w:t>
            </w:r>
          </w:p>
        </w:tc>
        <w:tc>
          <w:tcPr>
            <w:tcW w:type="dxa" w:w="1452"/>
            <w:shd w:fill="17365D"/>
          </w:tcPr>
          <w:p>
            <w:r>
              <w:rPr>
                <w:b/>
                <w:color w:val="FFFFFF"/>
                <w:sz w:val="13"/>
              </w:rPr>
              <w:t>Caution</w:t>
            </w:r>
          </w:p>
        </w:tc>
      </w:tr>
      <w:tr>
        <w:tc>
          <w:tcPr>
            <w:tcW w:type="dxa" w:w="1452"/>
            <w:vAlign w:val="center"/>
          </w:tcPr>
          <w:p>
            <w:r>
              <w:rPr>
                <w:sz w:val="13"/>
              </w:rPr>
              <w:t>0.0</w:t>
            </w:r>
          </w:p>
        </w:tc>
        <w:tc>
          <w:tcPr>
            <w:tcW w:type="dxa" w:w="1452"/>
            <w:vAlign w:val="center"/>
          </w:tcPr>
          <w:p>
            <w:r>
              <w:rPr>
                <w:sz w:val="13"/>
              </w:rPr>
              <w:t>89</w:t>
            </w:r>
          </w:p>
        </w:tc>
        <w:tc>
          <w:tcPr>
            <w:tcW w:type="dxa" w:w="1452"/>
            <w:vAlign w:val="center"/>
          </w:tcPr>
          <w:p>
            <w:r>
              <w:rPr>
                <w:sz w:val="13"/>
              </w:rPr>
              <w:t>7</w:t>
            </w:r>
          </w:p>
        </w:tc>
        <w:tc>
          <w:tcPr>
            <w:tcW w:type="dxa" w:w="1452"/>
            <w:vAlign w:val="center"/>
          </w:tcPr>
          <w:p>
            <w:r>
              <w:rPr>
                <w:sz w:val="13"/>
              </w:rPr>
              <w:t>82</w:t>
            </w:r>
          </w:p>
        </w:tc>
        <w:tc>
          <w:tcPr>
            <w:tcW w:type="dxa" w:w="1452"/>
            <w:vAlign w:val="center"/>
          </w:tcPr>
          <w:p>
            <w:r>
              <w:rPr>
                <w:sz w:val="13"/>
              </w:rPr>
              <w:t>7.9%</w:t>
            </w:r>
          </w:p>
        </w:tc>
        <w:tc>
          <w:tcPr>
            <w:tcW w:type="dxa" w:w="1452"/>
            <w:vAlign w:val="center"/>
          </w:tcPr>
          <w:p>
            <w:r>
              <w:rPr>
                <w:sz w:val="13"/>
              </w:rPr>
              <w:t>92.1%</w:t>
            </w:r>
          </w:p>
        </w:tc>
        <w:tc>
          <w:tcPr>
            <w:tcW w:type="dxa" w:w="1452"/>
            <w:vAlign w:val="center"/>
          </w:tcPr>
          <w:p>
            <w:r>
              <w:rPr>
                <w:sz w:val="13"/>
              </w:rPr>
            </w:r>
          </w:p>
        </w:tc>
      </w:tr>
      <w:tr>
        <w:tc>
          <w:tcPr>
            <w:tcW w:type="dxa" w:w="1452"/>
            <w:vAlign w:val="center"/>
          </w:tcPr>
          <w:p>
            <w:r>
              <w:rPr>
                <w:sz w:val="13"/>
              </w:rPr>
              <w:t>1.0</w:t>
            </w:r>
          </w:p>
        </w:tc>
        <w:tc>
          <w:tcPr>
            <w:tcW w:type="dxa" w:w="1452"/>
            <w:vAlign w:val="center"/>
          </w:tcPr>
          <w:p>
            <w:r>
              <w:rPr>
                <w:sz w:val="13"/>
              </w:rPr>
              <w:t>475</w:t>
            </w:r>
          </w:p>
        </w:tc>
        <w:tc>
          <w:tcPr>
            <w:tcW w:type="dxa" w:w="1452"/>
            <w:vAlign w:val="center"/>
          </w:tcPr>
          <w:p>
            <w:r>
              <w:rPr>
                <w:sz w:val="13"/>
              </w:rPr>
              <w:t>378</w:t>
            </w:r>
          </w:p>
        </w:tc>
        <w:tc>
          <w:tcPr>
            <w:tcW w:type="dxa" w:w="1452"/>
            <w:vAlign w:val="center"/>
          </w:tcPr>
          <w:p>
            <w:r>
              <w:rPr>
                <w:sz w:val="13"/>
              </w:rPr>
              <w:t>97</w:t>
            </w:r>
          </w:p>
        </w:tc>
        <w:tc>
          <w:tcPr>
            <w:tcW w:type="dxa" w:w="1452"/>
            <w:vAlign w:val="center"/>
          </w:tcPr>
          <w:p>
            <w:r>
              <w:rPr>
                <w:sz w:val="13"/>
              </w:rPr>
              <w:t>79.6%</w:t>
            </w:r>
          </w:p>
        </w:tc>
        <w:tc>
          <w:tcPr>
            <w:tcW w:type="dxa" w:w="1452"/>
            <w:vAlign w:val="center"/>
          </w:tcPr>
          <w:p>
            <w:r>
              <w:rPr>
                <w:sz w:val="13"/>
              </w:rPr>
              <w:t>20.4%</w:t>
            </w:r>
          </w:p>
        </w:tc>
        <w:tc>
          <w:tcPr>
            <w:tcW w:type="dxa" w:w="1452"/>
            <w:vAlign w:val="center"/>
          </w:tcPr>
          <w:p>
            <w:r>
              <w:rPr>
                <w:sz w:val="13"/>
              </w:rPr>
            </w:r>
          </w:p>
        </w:tc>
      </w:tr>
      <w:tr>
        <w:tc>
          <w:tcPr>
            <w:tcW w:type="dxa" w:w="1452"/>
            <w:vAlign w:val="center"/>
          </w:tcPr>
          <w:p>
            <w:r>
              <w:rPr>
                <w:sz w:val="13"/>
              </w:rPr>
              <w:t>Missing</w:t>
            </w:r>
          </w:p>
        </w:tc>
        <w:tc>
          <w:tcPr>
            <w:tcW w:type="dxa" w:w="1452"/>
            <w:vAlign w:val="center"/>
          </w:tcPr>
          <w:p>
            <w:r>
              <w:rPr>
                <w:sz w:val="13"/>
              </w:rPr>
              <w:t>50</w:t>
            </w:r>
          </w:p>
        </w:tc>
        <w:tc>
          <w:tcPr>
            <w:tcW w:type="dxa" w:w="1452"/>
            <w:vAlign w:val="center"/>
          </w:tcPr>
          <w:p>
            <w:r>
              <w:rPr>
                <w:sz w:val="13"/>
              </w:rPr>
              <w:t>37</w:t>
            </w:r>
          </w:p>
        </w:tc>
        <w:tc>
          <w:tcPr>
            <w:tcW w:type="dxa" w:w="1452"/>
            <w:vAlign w:val="center"/>
          </w:tcPr>
          <w:p>
            <w:r>
              <w:rPr>
                <w:sz w:val="13"/>
              </w:rPr>
              <w:t>13</w:t>
            </w:r>
          </w:p>
        </w:tc>
        <w:tc>
          <w:tcPr>
            <w:tcW w:type="dxa" w:w="1452"/>
            <w:vAlign w:val="center"/>
          </w:tcPr>
          <w:p>
            <w:r>
              <w:rPr>
                <w:sz w:val="13"/>
              </w:rPr>
              <w:t>74.0%</w:t>
            </w:r>
          </w:p>
        </w:tc>
        <w:tc>
          <w:tcPr>
            <w:tcW w:type="dxa" w:w="1452"/>
            <w:vAlign w:val="center"/>
          </w:tcPr>
          <w:p>
            <w:r>
              <w:rPr>
                <w:sz w:val="13"/>
              </w:rPr>
              <w:t>26.0%</w:t>
            </w:r>
          </w:p>
        </w:tc>
        <w:tc>
          <w:tcPr>
            <w:tcW w:type="dxa" w:w="1452"/>
            <w:vAlign w:val="center"/>
          </w:tcPr>
          <w:p>
            <w:r>
              <w:rPr>
                <w:sz w:val="13"/>
              </w:rPr>
            </w:r>
          </w:p>
        </w:tc>
      </w:tr>
    </w:tbl>
    <w:p>
      <w:pPr>
        <w:pStyle w:val="Heading2"/>
      </w:pPr>
      <w:r>
        <w:t>Property area</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shd w:fill="17365D"/>
          </w:tcPr>
          <w:p>
            <w:r>
              <w:rPr>
                <w:b/>
                <w:color w:val="FFFFFF"/>
                <w:sz w:val="13"/>
              </w:rPr>
              <w:t>Property area</w:t>
            </w:r>
          </w:p>
        </w:tc>
        <w:tc>
          <w:tcPr>
            <w:tcW w:type="dxa" w:w="1452"/>
            <w:shd w:fill="17365D"/>
          </w:tcPr>
          <w:p>
            <w:r>
              <w:rPr>
                <w:b/>
                <w:color w:val="FFFFFF"/>
                <w:sz w:val="13"/>
              </w:rPr>
              <w:t>Applications</w:t>
            </w:r>
          </w:p>
        </w:tc>
        <w:tc>
          <w:tcPr>
            <w:tcW w:type="dxa" w:w="1452"/>
            <w:shd w:fill="17365D"/>
          </w:tcPr>
          <w:p>
            <w:r>
              <w:rPr>
                <w:b/>
                <w:color w:val="FFFFFF"/>
                <w:sz w:val="13"/>
              </w:rPr>
              <w:t>Approved</w:t>
            </w:r>
          </w:p>
        </w:tc>
        <w:tc>
          <w:tcPr>
            <w:tcW w:type="dxa" w:w="1452"/>
            <w:shd w:fill="17365D"/>
          </w:tcPr>
          <w:p>
            <w:r>
              <w:rPr>
                <w:b/>
                <w:color w:val="FFFFFF"/>
                <w:sz w:val="13"/>
              </w:rPr>
              <w:t>Rejected</w:t>
            </w:r>
          </w:p>
        </w:tc>
        <w:tc>
          <w:tcPr>
            <w:tcW w:type="dxa" w:w="1452"/>
            <w:shd w:fill="17365D"/>
          </w:tcPr>
          <w:p>
            <w:r>
              <w:rPr>
                <w:b/>
                <w:color w:val="FFFFFF"/>
                <w:sz w:val="13"/>
              </w:rPr>
              <w:t>Approval rate</w:t>
            </w:r>
          </w:p>
        </w:tc>
        <w:tc>
          <w:tcPr>
            <w:tcW w:type="dxa" w:w="1452"/>
            <w:shd w:fill="17365D"/>
          </w:tcPr>
          <w:p>
            <w:r>
              <w:rPr>
                <w:b/>
                <w:color w:val="FFFFFF"/>
                <w:sz w:val="13"/>
              </w:rPr>
              <w:t>Rejection rate</w:t>
            </w:r>
          </w:p>
        </w:tc>
        <w:tc>
          <w:tcPr>
            <w:tcW w:type="dxa" w:w="1452"/>
            <w:shd w:fill="17365D"/>
          </w:tcPr>
          <w:p>
            <w:r>
              <w:rPr>
                <w:b/>
                <w:color w:val="FFFFFF"/>
                <w:sz w:val="13"/>
              </w:rPr>
              <w:t>Caution</w:t>
            </w:r>
          </w:p>
        </w:tc>
      </w:tr>
      <w:tr>
        <w:tc>
          <w:tcPr>
            <w:tcW w:type="dxa" w:w="1452"/>
            <w:vAlign w:val="center"/>
          </w:tcPr>
          <w:p>
            <w:r>
              <w:rPr>
                <w:sz w:val="13"/>
              </w:rPr>
              <w:t>Rural</w:t>
            </w:r>
          </w:p>
        </w:tc>
        <w:tc>
          <w:tcPr>
            <w:tcW w:type="dxa" w:w="1452"/>
            <w:vAlign w:val="center"/>
          </w:tcPr>
          <w:p>
            <w:r>
              <w:rPr>
                <w:sz w:val="13"/>
              </w:rPr>
              <w:t>179</w:t>
            </w:r>
          </w:p>
        </w:tc>
        <w:tc>
          <w:tcPr>
            <w:tcW w:type="dxa" w:w="1452"/>
            <w:vAlign w:val="center"/>
          </w:tcPr>
          <w:p>
            <w:r>
              <w:rPr>
                <w:sz w:val="13"/>
              </w:rPr>
              <w:t>110</w:t>
            </w:r>
          </w:p>
        </w:tc>
        <w:tc>
          <w:tcPr>
            <w:tcW w:type="dxa" w:w="1452"/>
            <w:vAlign w:val="center"/>
          </w:tcPr>
          <w:p>
            <w:r>
              <w:rPr>
                <w:sz w:val="13"/>
              </w:rPr>
              <w:t>69</w:t>
            </w:r>
          </w:p>
        </w:tc>
        <w:tc>
          <w:tcPr>
            <w:tcW w:type="dxa" w:w="1452"/>
            <w:vAlign w:val="center"/>
          </w:tcPr>
          <w:p>
            <w:r>
              <w:rPr>
                <w:sz w:val="13"/>
              </w:rPr>
              <w:t>61.5%</w:t>
            </w:r>
          </w:p>
        </w:tc>
        <w:tc>
          <w:tcPr>
            <w:tcW w:type="dxa" w:w="1452"/>
            <w:vAlign w:val="center"/>
          </w:tcPr>
          <w:p>
            <w:r>
              <w:rPr>
                <w:sz w:val="13"/>
              </w:rPr>
              <w:t>38.5%</w:t>
            </w:r>
          </w:p>
        </w:tc>
        <w:tc>
          <w:tcPr>
            <w:tcW w:type="dxa" w:w="1452"/>
            <w:vAlign w:val="center"/>
          </w:tcPr>
          <w:p>
            <w:r>
              <w:rPr>
                <w:sz w:val="13"/>
              </w:rPr>
            </w:r>
          </w:p>
        </w:tc>
      </w:tr>
      <w:tr>
        <w:tc>
          <w:tcPr>
            <w:tcW w:type="dxa" w:w="1452"/>
            <w:vAlign w:val="center"/>
          </w:tcPr>
          <w:p>
            <w:r>
              <w:rPr>
                <w:sz w:val="13"/>
              </w:rPr>
              <w:t>Semiurban</w:t>
            </w:r>
          </w:p>
        </w:tc>
        <w:tc>
          <w:tcPr>
            <w:tcW w:type="dxa" w:w="1452"/>
            <w:vAlign w:val="center"/>
          </w:tcPr>
          <w:p>
            <w:r>
              <w:rPr>
                <w:sz w:val="13"/>
              </w:rPr>
              <w:t>233</w:t>
            </w:r>
          </w:p>
        </w:tc>
        <w:tc>
          <w:tcPr>
            <w:tcW w:type="dxa" w:w="1452"/>
            <w:vAlign w:val="center"/>
          </w:tcPr>
          <w:p>
            <w:r>
              <w:rPr>
                <w:sz w:val="13"/>
              </w:rPr>
              <w:t>179</w:t>
            </w:r>
          </w:p>
        </w:tc>
        <w:tc>
          <w:tcPr>
            <w:tcW w:type="dxa" w:w="1452"/>
            <w:vAlign w:val="center"/>
          </w:tcPr>
          <w:p>
            <w:r>
              <w:rPr>
                <w:sz w:val="13"/>
              </w:rPr>
              <w:t>54</w:t>
            </w:r>
          </w:p>
        </w:tc>
        <w:tc>
          <w:tcPr>
            <w:tcW w:type="dxa" w:w="1452"/>
            <w:vAlign w:val="center"/>
          </w:tcPr>
          <w:p>
            <w:r>
              <w:rPr>
                <w:sz w:val="13"/>
              </w:rPr>
              <w:t>76.8%</w:t>
            </w:r>
          </w:p>
        </w:tc>
        <w:tc>
          <w:tcPr>
            <w:tcW w:type="dxa" w:w="1452"/>
            <w:vAlign w:val="center"/>
          </w:tcPr>
          <w:p>
            <w:r>
              <w:rPr>
                <w:sz w:val="13"/>
              </w:rPr>
              <w:t>23.2%</w:t>
            </w:r>
          </w:p>
        </w:tc>
        <w:tc>
          <w:tcPr>
            <w:tcW w:type="dxa" w:w="1452"/>
            <w:vAlign w:val="center"/>
          </w:tcPr>
          <w:p>
            <w:r>
              <w:rPr>
                <w:sz w:val="13"/>
              </w:rPr>
            </w:r>
          </w:p>
        </w:tc>
      </w:tr>
      <w:tr>
        <w:tc>
          <w:tcPr>
            <w:tcW w:type="dxa" w:w="1452"/>
            <w:vAlign w:val="center"/>
          </w:tcPr>
          <w:p>
            <w:r>
              <w:rPr>
                <w:sz w:val="13"/>
              </w:rPr>
              <w:t>Urban</w:t>
            </w:r>
          </w:p>
        </w:tc>
        <w:tc>
          <w:tcPr>
            <w:tcW w:type="dxa" w:w="1452"/>
            <w:vAlign w:val="center"/>
          </w:tcPr>
          <w:p>
            <w:r>
              <w:rPr>
                <w:sz w:val="13"/>
              </w:rPr>
              <w:t>202</w:t>
            </w:r>
          </w:p>
        </w:tc>
        <w:tc>
          <w:tcPr>
            <w:tcW w:type="dxa" w:w="1452"/>
            <w:vAlign w:val="center"/>
          </w:tcPr>
          <w:p>
            <w:r>
              <w:rPr>
                <w:sz w:val="13"/>
              </w:rPr>
              <w:t>133</w:t>
            </w:r>
          </w:p>
        </w:tc>
        <w:tc>
          <w:tcPr>
            <w:tcW w:type="dxa" w:w="1452"/>
            <w:vAlign w:val="center"/>
          </w:tcPr>
          <w:p>
            <w:r>
              <w:rPr>
                <w:sz w:val="13"/>
              </w:rPr>
              <w:t>69</w:t>
            </w:r>
          </w:p>
        </w:tc>
        <w:tc>
          <w:tcPr>
            <w:tcW w:type="dxa" w:w="1452"/>
            <w:vAlign w:val="center"/>
          </w:tcPr>
          <w:p>
            <w:r>
              <w:rPr>
                <w:sz w:val="13"/>
              </w:rPr>
              <w:t>65.8%</w:t>
            </w:r>
          </w:p>
        </w:tc>
        <w:tc>
          <w:tcPr>
            <w:tcW w:type="dxa" w:w="1452"/>
            <w:vAlign w:val="center"/>
          </w:tcPr>
          <w:p>
            <w:r>
              <w:rPr>
                <w:sz w:val="13"/>
              </w:rPr>
              <w:t>34.2%</w:t>
            </w:r>
          </w:p>
        </w:tc>
        <w:tc>
          <w:tcPr>
            <w:tcW w:type="dxa" w:w="1452"/>
            <w:vAlign w:val="center"/>
          </w:tcPr>
          <w:p>
            <w:r>
              <w:rPr>
                <w:sz w:val="13"/>
              </w:rPr>
            </w:r>
          </w:p>
        </w:tc>
      </w:tr>
    </w:tbl>
    <w:p>
      <w:pPr>
        <w:pStyle w:val="Heading2"/>
      </w:pPr>
      <w:r>
        <w:t>Education</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shd w:fill="17365D"/>
          </w:tcPr>
          <w:p>
            <w:r>
              <w:rPr>
                <w:b/>
                <w:color w:val="FFFFFF"/>
                <w:sz w:val="13"/>
              </w:rPr>
              <w:t>Education</w:t>
            </w:r>
          </w:p>
        </w:tc>
        <w:tc>
          <w:tcPr>
            <w:tcW w:type="dxa" w:w="1452"/>
            <w:shd w:fill="17365D"/>
          </w:tcPr>
          <w:p>
            <w:r>
              <w:rPr>
                <w:b/>
                <w:color w:val="FFFFFF"/>
                <w:sz w:val="13"/>
              </w:rPr>
              <w:t>Applications</w:t>
            </w:r>
          </w:p>
        </w:tc>
        <w:tc>
          <w:tcPr>
            <w:tcW w:type="dxa" w:w="1452"/>
            <w:shd w:fill="17365D"/>
          </w:tcPr>
          <w:p>
            <w:r>
              <w:rPr>
                <w:b/>
                <w:color w:val="FFFFFF"/>
                <w:sz w:val="13"/>
              </w:rPr>
              <w:t>Approved</w:t>
            </w:r>
          </w:p>
        </w:tc>
        <w:tc>
          <w:tcPr>
            <w:tcW w:type="dxa" w:w="1452"/>
            <w:shd w:fill="17365D"/>
          </w:tcPr>
          <w:p>
            <w:r>
              <w:rPr>
                <w:b/>
                <w:color w:val="FFFFFF"/>
                <w:sz w:val="13"/>
              </w:rPr>
              <w:t>Rejected</w:t>
            </w:r>
          </w:p>
        </w:tc>
        <w:tc>
          <w:tcPr>
            <w:tcW w:type="dxa" w:w="1452"/>
            <w:shd w:fill="17365D"/>
          </w:tcPr>
          <w:p>
            <w:r>
              <w:rPr>
                <w:b/>
                <w:color w:val="FFFFFF"/>
                <w:sz w:val="13"/>
              </w:rPr>
              <w:t>Approval rate</w:t>
            </w:r>
          </w:p>
        </w:tc>
        <w:tc>
          <w:tcPr>
            <w:tcW w:type="dxa" w:w="1452"/>
            <w:shd w:fill="17365D"/>
          </w:tcPr>
          <w:p>
            <w:r>
              <w:rPr>
                <w:b/>
                <w:color w:val="FFFFFF"/>
                <w:sz w:val="13"/>
              </w:rPr>
              <w:t>Rejection rate</w:t>
            </w:r>
          </w:p>
        </w:tc>
        <w:tc>
          <w:tcPr>
            <w:tcW w:type="dxa" w:w="1452"/>
            <w:shd w:fill="17365D"/>
          </w:tcPr>
          <w:p>
            <w:r>
              <w:rPr>
                <w:b/>
                <w:color w:val="FFFFFF"/>
                <w:sz w:val="13"/>
              </w:rPr>
              <w:t>Caution</w:t>
            </w:r>
          </w:p>
        </w:tc>
      </w:tr>
      <w:tr>
        <w:tc>
          <w:tcPr>
            <w:tcW w:type="dxa" w:w="1452"/>
            <w:vAlign w:val="center"/>
          </w:tcPr>
          <w:p>
            <w:r>
              <w:rPr>
                <w:sz w:val="13"/>
              </w:rPr>
              <w:t>Graduate</w:t>
            </w:r>
          </w:p>
        </w:tc>
        <w:tc>
          <w:tcPr>
            <w:tcW w:type="dxa" w:w="1452"/>
            <w:vAlign w:val="center"/>
          </w:tcPr>
          <w:p>
            <w:r>
              <w:rPr>
                <w:sz w:val="13"/>
              </w:rPr>
              <w:t>480</w:t>
            </w:r>
          </w:p>
        </w:tc>
        <w:tc>
          <w:tcPr>
            <w:tcW w:type="dxa" w:w="1452"/>
            <w:vAlign w:val="center"/>
          </w:tcPr>
          <w:p>
            <w:r>
              <w:rPr>
                <w:sz w:val="13"/>
              </w:rPr>
              <w:t>340</w:t>
            </w:r>
          </w:p>
        </w:tc>
        <w:tc>
          <w:tcPr>
            <w:tcW w:type="dxa" w:w="1452"/>
            <w:vAlign w:val="center"/>
          </w:tcPr>
          <w:p>
            <w:r>
              <w:rPr>
                <w:sz w:val="13"/>
              </w:rPr>
              <w:t>140</w:t>
            </w:r>
          </w:p>
        </w:tc>
        <w:tc>
          <w:tcPr>
            <w:tcW w:type="dxa" w:w="1452"/>
            <w:vAlign w:val="center"/>
          </w:tcPr>
          <w:p>
            <w:r>
              <w:rPr>
                <w:sz w:val="13"/>
              </w:rPr>
              <w:t>70.8%</w:t>
            </w:r>
          </w:p>
        </w:tc>
        <w:tc>
          <w:tcPr>
            <w:tcW w:type="dxa" w:w="1452"/>
            <w:vAlign w:val="center"/>
          </w:tcPr>
          <w:p>
            <w:r>
              <w:rPr>
                <w:sz w:val="13"/>
              </w:rPr>
              <w:t>29.2%</w:t>
            </w:r>
          </w:p>
        </w:tc>
        <w:tc>
          <w:tcPr>
            <w:tcW w:type="dxa" w:w="1452"/>
            <w:vAlign w:val="center"/>
          </w:tcPr>
          <w:p>
            <w:r>
              <w:rPr>
                <w:sz w:val="13"/>
              </w:rPr>
            </w:r>
          </w:p>
        </w:tc>
      </w:tr>
      <w:tr>
        <w:tc>
          <w:tcPr>
            <w:tcW w:type="dxa" w:w="1452"/>
            <w:vAlign w:val="center"/>
          </w:tcPr>
          <w:p>
            <w:r>
              <w:rPr>
                <w:sz w:val="13"/>
              </w:rPr>
              <w:t>Not Graduate</w:t>
            </w:r>
          </w:p>
        </w:tc>
        <w:tc>
          <w:tcPr>
            <w:tcW w:type="dxa" w:w="1452"/>
            <w:vAlign w:val="center"/>
          </w:tcPr>
          <w:p>
            <w:r>
              <w:rPr>
                <w:sz w:val="13"/>
              </w:rPr>
              <w:t>134</w:t>
            </w:r>
          </w:p>
        </w:tc>
        <w:tc>
          <w:tcPr>
            <w:tcW w:type="dxa" w:w="1452"/>
            <w:vAlign w:val="center"/>
          </w:tcPr>
          <w:p>
            <w:r>
              <w:rPr>
                <w:sz w:val="13"/>
              </w:rPr>
              <w:t>82</w:t>
            </w:r>
          </w:p>
        </w:tc>
        <w:tc>
          <w:tcPr>
            <w:tcW w:type="dxa" w:w="1452"/>
            <w:vAlign w:val="center"/>
          </w:tcPr>
          <w:p>
            <w:r>
              <w:rPr>
                <w:sz w:val="13"/>
              </w:rPr>
              <w:t>52</w:t>
            </w:r>
          </w:p>
        </w:tc>
        <w:tc>
          <w:tcPr>
            <w:tcW w:type="dxa" w:w="1452"/>
            <w:vAlign w:val="center"/>
          </w:tcPr>
          <w:p>
            <w:r>
              <w:rPr>
                <w:sz w:val="13"/>
              </w:rPr>
              <w:t>61.2%</w:t>
            </w:r>
          </w:p>
        </w:tc>
        <w:tc>
          <w:tcPr>
            <w:tcW w:type="dxa" w:w="1452"/>
            <w:vAlign w:val="center"/>
          </w:tcPr>
          <w:p>
            <w:r>
              <w:rPr>
                <w:sz w:val="13"/>
              </w:rPr>
              <w:t>38.8%</w:t>
            </w:r>
          </w:p>
        </w:tc>
        <w:tc>
          <w:tcPr>
            <w:tcW w:type="dxa" w:w="1452"/>
            <w:vAlign w:val="center"/>
          </w:tcPr>
          <w:p>
            <w:r>
              <w:rPr>
                <w:sz w:val="13"/>
              </w:rPr>
            </w:r>
          </w:p>
        </w:tc>
      </w:tr>
    </w:tbl>
    <w:p>
      <w:pPr>
        <w:pStyle w:val="Heading2"/>
      </w:pPr>
      <w:r>
        <w:t>Applicant income quartiles</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shd w:fill="17365D"/>
          </w:tcPr>
          <w:p>
            <w:r>
              <w:rPr>
                <w:b/>
                <w:color w:val="FFFFFF"/>
                <w:sz w:val="13"/>
              </w:rPr>
              <w:t>Applicant income quartiles</w:t>
            </w:r>
          </w:p>
        </w:tc>
        <w:tc>
          <w:tcPr>
            <w:tcW w:type="dxa" w:w="1452"/>
            <w:shd w:fill="17365D"/>
          </w:tcPr>
          <w:p>
            <w:r>
              <w:rPr>
                <w:b/>
                <w:color w:val="FFFFFF"/>
                <w:sz w:val="13"/>
              </w:rPr>
              <w:t>Applications</w:t>
            </w:r>
          </w:p>
        </w:tc>
        <w:tc>
          <w:tcPr>
            <w:tcW w:type="dxa" w:w="1452"/>
            <w:shd w:fill="17365D"/>
          </w:tcPr>
          <w:p>
            <w:r>
              <w:rPr>
                <w:b/>
                <w:color w:val="FFFFFF"/>
                <w:sz w:val="13"/>
              </w:rPr>
              <w:t>Approved</w:t>
            </w:r>
          </w:p>
        </w:tc>
        <w:tc>
          <w:tcPr>
            <w:tcW w:type="dxa" w:w="1452"/>
            <w:shd w:fill="17365D"/>
          </w:tcPr>
          <w:p>
            <w:r>
              <w:rPr>
                <w:b/>
                <w:color w:val="FFFFFF"/>
                <w:sz w:val="13"/>
              </w:rPr>
              <w:t>Rejected</w:t>
            </w:r>
          </w:p>
        </w:tc>
        <w:tc>
          <w:tcPr>
            <w:tcW w:type="dxa" w:w="1452"/>
            <w:shd w:fill="17365D"/>
          </w:tcPr>
          <w:p>
            <w:r>
              <w:rPr>
                <w:b/>
                <w:color w:val="FFFFFF"/>
                <w:sz w:val="13"/>
              </w:rPr>
              <w:t>Approval rate</w:t>
            </w:r>
          </w:p>
        </w:tc>
        <w:tc>
          <w:tcPr>
            <w:tcW w:type="dxa" w:w="1452"/>
            <w:shd w:fill="17365D"/>
          </w:tcPr>
          <w:p>
            <w:r>
              <w:rPr>
                <w:b/>
                <w:color w:val="FFFFFF"/>
                <w:sz w:val="13"/>
              </w:rPr>
              <w:t>Rejection rate</w:t>
            </w:r>
          </w:p>
        </w:tc>
        <w:tc>
          <w:tcPr>
            <w:tcW w:type="dxa" w:w="1452"/>
            <w:shd w:fill="17365D"/>
          </w:tcPr>
          <w:p>
            <w:r>
              <w:rPr>
                <w:b/>
                <w:color w:val="FFFFFF"/>
                <w:sz w:val="13"/>
              </w:rPr>
              <w:t>Caution</w:t>
            </w:r>
          </w:p>
        </w:tc>
      </w:tr>
      <w:tr>
        <w:tc>
          <w:tcPr>
            <w:tcW w:type="dxa" w:w="1452"/>
            <w:vAlign w:val="center"/>
          </w:tcPr>
          <w:p>
            <w:r>
              <w:rPr>
                <w:sz w:val="13"/>
              </w:rPr>
              <w:t>Q1 (Lowest)</w:t>
            </w:r>
          </w:p>
        </w:tc>
        <w:tc>
          <w:tcPr>
            <w:tcW w:type="dxa" w:w="1452"/>
            <w:vAlign w:val="center"/>
          </w:tcPr>
          <w:p>
            <w:r>
              <w:rPr>
                <w:sz w:val="13"/>
              </w:rPr>
              <w:t>154</w:t>
            </w:r>
          </w:p>
        </w:tc>
        <w:tc>
          <w:tcPr>
            <w:tcW w:type="dxa" w:w="1452"/>
            <w:vAlign w:val="center"/>
          </w:tcPr>
          <w:p>
            <w:r>
              <w:rPr>
                <w:sz w:val="13"/>
              </w:rPr>
              <w:t>106</w:t>
            </w:r>
          </w:p>
        </w:tc>
        <w:tc>
          <w:tcPr>
            <w:tcW w:type="dxa" w:w="1452"/>
            <w:vAlign w:val="center"/>
          </w:tcPr>
          <w:p>
            <w:r>
              <w:rPr>
                <w:sz w:val="13"/>
              </w:rPr>
              <w:t>48</w:t>
            </w:r>
          </w:p>
        </w:tc>
        <w:tc>
          <w:tcPr>
            <w:tcW w:type="dxa" w:w="1452"/>
            <w:vAlign w:val="center"/>
          </w:tcPr>
          <w:p>
            <w:r>
              <w:rPr>
                <w:sz w:val="13"/>
              </w:rPr>
              <w:t>68.8%</w:t>
            </w:r>
          </w:p>
        </w:tc>
        <w:tc>
          <w:tcPr>
            <w:tcW w:type="dxa" w:w="1452"/>
            <w:vAlign w:val="center"/>
          </w:tcPr>
          <w:p>
            <w:r>
              <w:rPr>
                <w:sz w:val="13"/>
              </w:rPr>
              <w:t>31.2%</w:t>
            </w:r>
          </w:p>
        </w:tc>
        <w:tc>
          <w:tcPr>
            <w:tcW w:type="dxa" w:w="1452"/>
            <w:vAlign w:val="center"/>
          </w:tcPr>
          <w:p>
            <w:r>
              <w:rPr>
                <w:sz w:val="13"/>
              </w:rPr>
            </w:r>
          </w:p>
        </w:tc>
      </w:tr>
      <w:tr>
        <w:tc>
          <w:tcPr>
            <w:tcW w:type="dxa" w:w="1452"/>
            <w:vAlign w:val="center"/>
          </w:tcPr>
          <w:p>
            <w:r>
              <w:rPr>
                <w:sz w:val="13"/>
              </w:rPr>
              <w:t>Q2</w:t>
            </w:r>
          </w:p>
        </w:tc>
        <w:tc>
          <w:tcPr>
            <w:tcW w:type="dxa" w:w="1452"/>
            <w:vAlign w:val="center"/>
          </w:tcPr>
          <w:p>
            <w:r>
              <w:rPr>
                <w:sz w:val="13"/>
              </w:rPr>
              <w:t>153</w:t>
            </w:r>
          </w:p>
        </w:tc>
        <w:tc>
          <w:tcPr>
            <w:tcW w:type="dxa" w:w="1452"/>
            <w:vAlign w:val="center"/>
          </w:tcPr>
          <w:p>
            <w:r>
              <w:rPr>
                <w:sz w:val="13"/>
              </w:rPr>
              <w:t>105</w:t>
            </w:r>
          </w:p>
        </w:tc>
        <w:tc>
          <w:tcPr>
            <w:tcW w:type="dxa" w:w="1452"/>
            <w:vAlign w:val="center"/>
          </w:tcPr>
          <w:p>
            <w:r>
              <w:rPr>
                <w:sz w:val="13"/>
              </w:rPr>
              <w:t>48</w:t>
            </w:r>
          </w:p>
        </w:tc>
        <w:tc>
          <w:tcPr>
            <w:tcW w:type="dxa" w:w="1452"/>
            <w:vAlign w:val="center"/>
          </w:tcPr>
          <w:p>
            <w:r>
              <w:rPr>
                <w:sz w:val="13"/>
              </w:rPr>
              <w:t>68.6%</w:t>
            </w:r>
          </w:p>
        </w:tc>
        <w:tc>
          <w:tcPr>
            <w:tcW w:type="dxa" w:w="1452"/>
            <w:vAlign w:val="center"/>
          </w:tcPr>
          <w:p>
            <w:r>
              <w:rPr>
                <w:sz w:val="13"/>
              </w:rPr>
              <w:t>31.4%</w:t>
            </w:r>
          </w:p>
        </w:tc>
        <w:tc>
          <w:tcPr>
            <w:tcW w:type="dxa" w:w="1452"/>
            <w:vAlign w:val="center"/>
          </w:tcPr>
          <w:p>
            <w:r>
              <w:rPr>
                <w:sz w:val="13"/>
              </w:rPr>
            </w:r>
          </w:p>
        </w:tc>
      </w:tr>
      <w:tr>
        <w:tc>
          <w:tcPr>
            <w:tcW w:type="dxa" w:w="1452"/>
            <w:vAlign w:val="center"/>
          </w:tcPr>
          <w:p>
            <w:r>
              <w:rPr>
                <w:sz w:val="13"/>
              </w:rPr>
              <w:t>Q3</w:t>
            </w:r>
          </w:p>
        </w:tc>
        <w:tc>
          <w:tcPr>
            <w:tcW w:type="dxa" w:w="1452"/>
            <w:vAlign w:val="center"/>
          </w:tcPr>
          <w:p>
            <w:r>
              <w:rPr>
                <w:sz w:val="13"/>
              </w:rPr>
              <w:t>153</w:t>
            </w:r>
          </w:p>
        </w:tc>
        <w:tc>
          <w:tcPr>
            <w:tcW w:type="dxa" w:w="1452"/>
            <w:vAlign w:val="center"/>
          </w:tcPr>
          <w:p>
            <w:r>
              <w:rPr>
                <w:sz w:val="13"/>
              </w:rPr>
              <w:t>106</w:t>
            </w:r>
          </w:p>
        </w:tc>
        <w:tc>
          <w:tcPr>
            <w:tcW w:type="dxa" w:w="1452"/>
            <w:vAlign w:val="center"/>
          </w:tcPr>
          <w:p>
            <w:r>
              <w:rPr>
                <w:sz w:val="13"/>
              </w:rPr>
              <w:t>47</w:t>
            </w:r>
          </w:p>
        </w:tc>
        <w:tc>
          <w:tcPr>
            <w:tcW w:type="dxa" w:w="1452"/>
            <w:vAlign w:val="center"/>
          </w:tcPr>
          <w:p>
            <w:r>
              <w:rPr>
                <w:sz w:val="13"/>
              </w:rPr>
              <w:t>69.3%</w:t>
            </w:r>
          </w:p>
        </w:tc>
        <w:tc>
          <w:tcPr>
            <w:tcW w:type="dxa" w:w="1452"/>
            <w:vAlign w:val="center"/>
          </w:tcPr>
          <w:p>
            <w:r>
              <w:rPr>
                <w:sz w:val="13"/>
              </w:rPr>
              <w:t>30.7%</w:t>
            </w:r>
          </w:p>
        </w:tc>
        <w:tc>
          <w:tcPr>
            <w:tcW w:type="dxa" w:w="1452"/>
            <w:vAlign w:val="center"/>
          </w:tcPr>
          <w:p>
            <w:r>
              <w:rPr>
                <w:sz w:val="13"/>
              </w:rPr>
            </w:r>
          </w:p>
        </w:tc>
      </w:tr>
      <w:tr>
        <w:tc>
          <w:tcPr>
            <w:tcW w:type="dxa" w:w="1452"/>
            <w:vAlign w:val="center"/>
          </w:tcPr>
          <w:p>
            <w:r>
              <w:rPr>
                <w:sz w:val="13"/>
              </w:rPr>
              <w:t>Q4 (Highest)</w:t>
            </w:r>
          </w:p>
        </w:tc>
        <w:tc>
          <w:tcPr>
            <w:tcW w:type="dxa" w:w="1452"/>
            <w:vAlign w:val="center"/>
          </w:tcPr>
          <w:p>
            <w:r>
              <w:rPr>
                <w:sz w:val="13"/>
              </w:rPr>
              <w:t>154</w:t>
            </w:r>
          </w:p>
        </w:tc>
        <w:tc>
          <w:tcPr>
            <w:tcW w:type="dxa" w:w="1452"/>
            <w:vAlign w:val="center"/>
          </w:tcPr>
          <w:p>
            <w:r>
              <w:rPr>
                <w:sz w:val="13"/>
              </w:rPr>
              <w:t>105</w:t>
            </w:r>
          </w:p>
        </w:tc>
        <w:tc>
          <w:tcPr>
            <w:tcW w:type="dxa" w:w="1452"/>
            <w:vAlign w:val="center"/>
          </w:tcPr>
          <w:p>
            <w:r>
              <w:rPr>
                <w:sz w:val="13"/>
              </w:rPr>
              <w:t>49</w:t>
            </w:r>
          </w:p>
        </w:tc>
        <w:tc>
          <w:tcPr>
            <w:tcW w:type="dxa" w:w="1452"/>
            <w:vAlign w:val="center"/>
          </w:tcPr>
          <w:p>
            <w:r>
              <w:rPr>
                <w:sz w:val="13"/>
              </w:rPr>
              <w:t>68.2%</w:t>
            </w:r>
          </w:p>
        </w:tc>
        <w:tc>
          <w:tcPr>
            <w:tcW w:type="dxa" w:w="1452"/>
            <w:vAlign w:val="center"/>
          </w:tcPr>
          <w:p>
            <w:r>
              <w:rPr>
                <w:sz w:val="13"/>
              </w:rPr>
              <w:t>31.8%</w:t>
            </w:r>
          </w:p>
        </w:tc>
        <w:tc>
          <w:tcPr>
            <w:tcW w:type="dxa" w:w="1452"/>
            <w:vAlign w:val="center"/>
          </w:tcPr>
          <w:p>
            <w:r>
              <w:rPr>
                <w:sz w:val="13"/>
              </w:rPr>
            </w:r>
          </w:p>
        </w:tc>
      </w:tr>
    </w:tbl>
    <w:p>
      <w:pPr>
        <w:pStyle w:val="Heading2"/>
      </w:pPr>
      <w:r>
        <w:t>Combined income quartiles</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shd w:fill="17365D"/>
          </w:tcPr>
          <w:p>
            <w:r>
              <w:rPr>
                <w:b/>
                <w:color w:val="FFFFFF"/>
                <w:sz w:val="13"/>
              </w:rPr>
              <w:t>Combined income quartiles</w:t>
            </w:r>
          </w:p>
        </w:tc>
        <w:tc>
          <w:tcPr>
            <w:tcW w:type="dxa" w:w="1452"/>
            <w:shd w:fill="17365D"/>
          </w:tcPr>
          <w:p>
            <w:r>
              <w:rPr>
                <w:b/>
                <w:color w:val="FFFFFF"/>
                <w:sz w:val="13"/>
              </w:rPr>
              <w:t>Applications</w:t>
            </w:r>
          </w:p>
        </w:tc>
        <w:tc>
          <w:tcPr>
            <w:tcW w:type="dxa" w:w="1452"/>
            <w:shd w:fill="17365D"/>
          </w:tcPr>
          <w:p>
            <w:r>
              <w:rPr>
                <w:b/>
                <w:color w:val="FFFFFF"/>
                <w:sz w:val="13"/>
              </w:rPr>
              <w:t>Approved</w:t>
            </w:r>
          </w:p>
        </w:tc>
        <w:tc>
          <w:tcPr>
            <w:tcW w:type="dxa" w:w="1452"/>
            <w:shd w:fill="17365D"/>
          </w:tcPr>
          <w:p>
            <w:r>
              <w:rPr>
                <w:b/>
                <w:color w:val="FFFFFF"/>
                <w:sz w:val="13"/>
              </w:rPr>
              <w:t>Rejected</w:t>
            </w:r>
          </w:p>
        </w:tc>
        <w:tc>
          <w:tcPr>
            <w:tcW w:type="dxa" w:w="1452"/>
            <w:shd w:fill="17365D"/>
          </w:tcPr>
          <w:p>
            <w:r>
              <w:rPr>
                <w:b/>
                <w:color w:val="FFFFFF"/>
                <w:sz w:val="13"/>
              </w:rPr>
              <w:t>Approval rate</w:t>
            </w:r>
          </w:p>
        </w:tc>
        <w:tc>
          <w:tcPr>
            <w:tcW w:type="dxa" w:w="1452"/>
            <w:shd w:fill="17365D"/>
          </w:tcPr>
          <w:p>
            <w:r>
              <w:rPr>
                <w:b/>
                <w:color w:val="FFFFFF"/>
                <w:sz w:val="13"/>
              </w:rPr>
              <w:t>Rejection rate</w:t>
            </w:r>
          </w:p>
        </w:tc>
        <w:tc>
          <w:tcPr>
            <w:tcW w:type="dxa" w:w="1452"/>
            <w:shd w:fill="17365D"/>
          </w:tcPr>
          <w:p>
            <w:r>
              <w:rPr>
                <w:b/>
                <w:color w:val="FFFFFF"/>
                <w:sz w:val="13"/>
              </w:rPr>
              <w:t>Caution</w:t>
            </w:r>
          </w:p>
        </w:tc>
      </w:tr>
      <w:tr>
        <w:tc>
          <w:tcPr>
            <w:tcW w:type="dxa" w:w="1452"/>
            <w:vAlign w:val="center"/>
          </w:tcPr>
          <w:p>
            <w:r>
              <w:rPr>
                <w:sz w:val="13"/>
              </w:rPr>
              <w:t>Q1 (Lowest)</w:t>
            </w:r>
          </w:p>
        </w:tc>
        <w:tc>
          <w:tcPr>
            <w:tcW w:type="dxa" w:w="1452"/>
            <w:vAlign w:val="center"/>
          </w:tcPr>
          <w:p>
            <w:r>
              <w:rPr>
                <w:sz w:val="13"/>
              </w:rPr>
              <w:t>155</w:t>
            </w:r>
          </w:p>
        </w:tc>
        <w:tc>
          <w:tcPr>
            <w:tcW w:type="dxa" w:w="1452"/>
            <w:vAlign w:val="center"/>
          </w:tcPr>
          <w:p>
            <w:r>
              <w:rPr>
                <w:sz w:val="13"/>
              </w:rPr>
              <w:t>105</w:t>
            </w:r>
          </w:p>
        </w:tc>
        <w:tc>
          <w:tcPr>
            <w:tcW w:type="dxa" w:w="1452"/>
            <w:vAlign w:val="center"/>
          </w:tcPr>
          <w:p>
            <w:r>
              <w:rPr>
                <w:sz w:val="13"/>
              </w:rPr>
              <w:t>50</w:t>
            </w:r>
          </w:p>
        </w:tc>
        <w:tc>
          <w:tcPr>
            <w:tcW w:type="dxa" w:w="1452"/>
            <w:vAlign w:val="center"/>
          </w:tcPr>
          <w:p>
            <w:r>
              <w:rPr>
                <w:sz w:val="13"/>
              </w:rPr>
              <w:t>67.7%</w:t>
            </w:r>
          </w:p>
        </w:tc>
        <w:tc>
          <w:tcPr>
            <w:tcW w:type="dxa" w:w="1452"/>
            <w:vAlign w:val="center"/>
          </w:tcPr>
          <w:p>
            <w:r>
              <w:rPr>
                <w:sz w:val="13"/>
              </w:rPr>
              <w:t>32.3%</w:t>
            </w:r>
          </w:p>
        </w:tc>
        <w:tc>
          <w:tcPr>
            <w:tcW w:type="dxa" w:w="1452"/>
            <w:vAlign w:val="center"/>
          </w:tcPr>
          <w:p>
            <w:r>
              <w:rPr>
                <w:sz w:val="13"/>
              </w:rPr>
            </w:r>
          </w:p>
        </w:tc>
      </w:tr>
      <w:tr>
        <w:tc>
          <w:tcPr>
            <w:tcW w:type="dxa" w:w="1452"/>
            <w:vAlign w:val="center"/>
          </w:tcPr>
          <w:p>
            <w:r>
              <w:rPr>
                <w:sz w:val="13"/>
              </w:rPr>
              <w:t>Q2</w:t>
            </w:r>
          </w:p>
        </w:tc>
        <w:tc>
          <w:tcPr>
            <w:tcW w:type="dxa" w:w="1452"/>
            <w:vAlign w:val="center"/>
          </w:tcPr>
          <w:p>
            <w:r>
              <w:rPr>
                <w:sz w:val="13"/>
              </w:rPr>
              <w:t>152</w:t>
            </w:r>
          </w:p>
        </w:tc>
        <w:tc>
          <w:tcPr>
            <w:tcW w:type="dxa" w:w="1452"/>
            <w:vAlign w:val="center"/>
          </w:tcPr>
          <w:p>
            <w:r>
              <w:rPr>
                <w:sz w:val="13"/>
              </w:rPr>
              <w:t>104</w:t>
            </w:r>
          </w:p>
        </w:tc>
        <w:tc>
          <w:tcPr>
            <w:tcW w:type="dxa" w:w="1452"/>
            <w:vAlign w:val="center"/>
          </w:tcPr>
          <w:p>
            <w:r>
              <w:rPr>
                <w:sz w:val="13"/>
              </w:rPr>
              <w:t>48</w:t>
            </w:r>
          </w:p>
        </w:tc>
        <w:tc>
          <w:tcPr>
            <w:tcW w:type="dxa" w:w="1452"/>
            <w:vAlign w:val="center"/>
          </w:tcPr>
          <w:p>
            <w:r>
              <w:rPr>
                <w:sz w:val="13"/>
              </w:rPr>
              <w:t>68.4%</w:t>
            </w:r>
          </w:p>
        </w:tc>
        <w:tc>
          <w:tcPr>
            <w:tcW w:type="dxa" w:w="1452"/>
            <w:vAlign w:val="center"/>
          </w:tcPr>
          <w:p>
            <w:r>
              <w:rPr>
                <w:sz w:val="13"/>
              </w:rPr>
              <w:t>31.6%</w:t>
            </w:r>
          </w:p>
        </w:tc>
        <w:tc>
          <w:tcPr>
            <w:tcW w:type="dxa" w:w="1452"/>
            <w:vAlign w:val="center"/>
          </w:tcPr>
          <w:p>
            <w:r>
              <w:rPr>
                <w:sz w:val="13"/>
              </w:rPr>
            </w:r>
          </w:p>
        </w:tc>
      </w:tr>
      <w:tr>
        <w:tc>
          <w:tcPr>
            <w:tcW w:type="dxa" w:w="1452"/>
            <w:vAlign w:val="center"/>
          </w:tcPr>
          <w:p>
            <w:r>
              <w:rPr>
                <w:sz w:val="13"/>
              </w:rPr>
              <w:t>Q3</w:t>
            </w:r>
          </w:p>
        </w:tc>
        <w:tc>
          <w:tcPr>
            <w:tcW w:type="dxa" w:w="1452"/>
            <w:vAlign w:val="center"/>
          </w:tcPr>
          <w:p>
            <w:r>
              <w:rPr>
                <w:sz w:val="13"/>
              </w:rPr>
              <w:t>153</w:t>
            </w:r>
          </w:p>
        </w:tc>
        <w:tc>
          <w:tcPr>
            <w:tcW w:type="dxa" w:w="1452"/>
            <w:vAlign w:val="center"/>
          </w:tcPr>
          <w:p>
            <w:r>
              <w:rPr>
                <w:sz w:val="13"/>
              </w:rPr>
              <w:t>109</w:t>
            </w:r>
          </w:p>
        </w:tc>
        <w:tc>
          <w:tcPr>
            <w:tcW w:type="dxa" w:w="1452"/>
            <w:vAlign w:val="center"/>
          </w:tcPr>
          <w:p>
            <w:r>
              <w:rPr>
                <w:sz w:val="13"/>
              </w:rPr>
              <w:t>44</w:t>
            </w:r>
          </w:p>
        </w:tc>
        <w:tc>
          <w:tcPr>
            <w:tcW w:type="dxa" w:w="1452"/>
            <w:vAlign w:val="center"/>
          </w:tcPr>
          <w:p>
            <w:r>
              <w:rPr>
                <w:sz w:val="13"/>
              </w:rPr>
              <w:t>71.2%</w:t>
            </w:r>
          </w:p>
        </w:tc>
        <w:tc>
          <w:tcPr>
            <w:tcW w:type="dxa" w:w="1452"/>
            <w:vAlign w:val="center"/>
          </w:tcPr>
          <w:p>
            <w:r>
              <w:rPr>
                <w:sz w:val="13"/>
              </w:rPr>
              <w:t>28.8%</w:t>
            </w:r>
          </w:p>
        </w:tc>
        <w:tc>
          <w:tcPr>
            <w:tcW w:type="dxa" w:w="1452"/>
            <w:vAlign w:val="center"/>
          </w:tcPr>
          <w:p>
            <w:r>
              <w:rPr>
                <w:sz w:val="13"/>
              </w:rPr>
            </w:r>
          </w:p>
        </w:tc>
      </w:tr>
      <w:tr>
        <w:tc>
          <w:tcPr>
            <w:tcW w:type="dxa" w:w="1452"/>
            <w:vAlign w:val="center"/>
          </w:tcPr>
          <w:p>
            <w:r>
              <w:rPr>
                <w:sz w:val="13"/>
              </w:rPr>
              <w:t>Q4 (Highest)</w:t>
            </w:r>
          </w:p>
        </w:tc>
        <w:tc>
          <w:tcPr>
            <w:tcW w:type="dxa" w:w="1452"/>
            <w:vAlign w:val="center"/>
          </w:tcPr>
          <w:p>
            <w:r>
              <w:rPr>
                <w:sz w:val="13"/>
              </w:rPr>
              <w:t>154</w:t>
            </w:r>
          </w:p>
        </w:tc>
        <w:tc>
          <w:tcPr>
            <w:tcW w:type="dxa" w:w="1452"/>
            <w:vAlign w:val="center"/>
          </w:tcPr>
          <w:p>
            <w:r>
              <w:rPr>
                <w:sz w:val="13"/>
              </w:rPr>
              <w:t>104</w:t>
            </w:r>
          </w:p>
        </w:tc>
        <w:tc>
          <w:tcPr>
            <w:tcW w:type="dxa" w:w="1452"/>
            <w:vAlign w:val="center"/>
          </w:tcPr>
          <w:p>
            <w:r>
              <w:rPr>
                <w:sz w:val="13"/>
              </w:rPr>
              <w:t>50</w:t>
            </w:r>
          </w:p>
        </w:tc>
        <w:tc>
          <w:tcPr>
            <w:tcW w:type="dxa" w:w="1452"/>
            <w:vAlign w:val="center"/>
          </w:tcPr>
          <w:p>
            <w:r>
              <w:rPr>
                <w:sz w:val="13"/>
              </w:rPr>
              <w:t>67.5%</w:t>
            </w:r>
          </w:p>
        </w:tc>
        <w:tc>
          <w:tcPr>
            <w:tcW w:type="dxa" w:w="1452"/>
            <w:vAlign w:val="center"/>
          </w:tcPr>
          <w:p>
            <w:r>
              <w:rPr>
                <w:sz w:val="13"/>
              </w:rPr>
              <w:t>32.5%</w:t>
            </w:r>
          </w:p>
        </w:tc>
        <w:tc>
          <w:tcPr>
            <w:tcW w:type="dxa" w:w="1452"/>
            <w:vAlign w:val="center"/>
          </w:tcPr>
          <w:p>
            <w:r>
              <w:rPr>
                <w:sz w:val="13"/>
              </w:rPr>
            </w:r>
          </w:p>
        </w:tc>
      </w:tr>
    </w:tbl>
    <w:p>
      <w:pPr>
        <w:pStyle w:val="Heading2"/>
      </w:pPr>
      <w:r>
        <w:t>Self-employment</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shd w:fill="17365D"/>
          </w:tcPr>
          <w:p>
            <w:r>
              <w:rPr>
                <w:b/>
                <w:color w:val="FFFFFF"/>
                <w:sz w:val="13"/>
              </w:rPr>
              <w:t>Self-employment</w:t>
            </w:r>
          </w:p>
        </w:tc>
        <w:tc>
          <w:tcPr>
            <w:tcW w:type="dxa" w:w="1452"/>
            <w:shd w:fill="17365D"/>
          </w:tcPr>
          <w:p>
            <w:r>
              <w:rPr>
                <w:b/>
                <w:color w:val="FFFFFF"/>
                <w:sz w:val="13"/>
              </w:rPr>
              <w:t>Applications</w:t>
            </w:r>
          </w:p>
        </w:tc>
        <w:tc>
          <w:tcPr>
            <w:tcW w:type="dxa" w:w="1452"/>
            <w:shd w:fill="17365D"/>
          </w:tcPr>
          <w:p>
            <w:r>
              <w:rPr>
                <w:b/>
                <w:color w:val="FFFFFF"/>
                <w:sz w:val="13"/>
              </w:rPr>
              <w:t>Approved</w:t>
            </w:r>
          </w:p>
        </w:tc>
        <w:tc>
          <w:tcPr>
            <w:tcW w:type="dxa" w:w="1452"/>
            <w:shd w:fill="17365D"/>
          </w:tcPr>
          <w:p>
            <w:r>
              <w:rPr>
                <w:b/>
                <w:color w:val="FFFFFF"/>
                <w:sz w:val="13"/>
              </w:rPr>
              <w:t>Rejected</w:t>
            </w:r>
          </w:p>
        </w:tc>
        <w:tc>
          <w:tcPr>
            <w:tcW w:type="dxa" w:w="1452"/>
            <w:shd w:fill="17365D"/>
          </w:tcPr>
          <w:p>
            <w:r>
              <w:rPr>
                <w:b/>
                <w:color w:val="FFFFFF"/>
                <w:sz w:val="13"/>
              </w:rPr>
              <w:t>Approval rate</w:t>
            </w:r>
          </w:p>
        </w:tc>
        <w:tc>
          <w:tcPr>
            <w:tcW w:type="dxa" w:w="1452"/>
            <w:shd w:fill="17365D"/>
          </w:tcPr>
          <w:p>
            <w:r>
              <w:rPr>
                <w:b/>
                <w:color w:val="FFFFFF"/>
                <w:sz w:val="13"/>
              </w:rPr>
              <w:t>Rejection rate</w:t>
            </w:r>
          </w:p>
        </w:tc>
        <w:tc>
          <w:tcPr>
            <w:tcW w:type="dxa" w:w="1452"/>
            <w:shd w:fill="17365D"/>
          </w:tcPr>
          <w:p>
            <w:r>
              <w:rPr>
                <w:b/>
                <w:color w:val="FFFFFF"/>
                <w:sz w:val="13"/>
              </w:rPr>
              <w:t>Caution</w:t>
            </w:r>
          </w:p>
        </w:tc>
      </w:tr>
      <w:tr>
        <w:tc>
          <w:tcPr>
            <w:tcW w:type="dxa" w:w="1452"/>
            <w:vAlign w:val="center"/>
          </w:tcPr>
          <w:p>
            <w:r>
              <w:rPr>
                <w:sz w:val="13"/>
              </w:rPr>
              <w:t>No</w:t>
            </w:r>
          </w:p>
        </w:tc>
        <w:tc>
          <w:tcPr>
            <w:tcW w:type="dxa" w:w="1452"/>
            <w:vAlign w:val="center"/>
          </w:tcPr>
          <w:p>
            <w:r>
              <w:rPr>
                <w:sz w:val="13"/>
              </w:rPr>
              <w:t>500</w:t>
            </w:r>
          </w:p>
        </w:tc>
        <w:tc>
          <w:tcPr>
            <w:tcW w:type="dxa" w:w="1452"/>
            <w:vAlign w:val="center"/>
          </w:tcPr>
          <w:p>
            <w:r>
              <w:rPr>
                <w:sz w:val="13"/>
              </w:rPr>
              <w:t>343</w:t>
            </w:r>
          </w:p>
        </w:tc>
        <w:tc>
          <w:tcPr>
            <w:tcW w:type="dxa" w:w="1452"/>
            <w:vAlign w:val="center"/>
          </w:tcPr>
          <w:p>
            <w:r>
              <w:rPr>
                <w:sz w:val="13"/>
              </w:rPr>
              <w:t>157</w:t>
            </w:r>
          </w:p>
        </w:tc>
        <w:tc>
          <w:tcPr>
            <w:tcW w:type="dxa" w:w="1452"/>
            <w:vAlign w:val="center"/>
          </w:tcPr>
          <w:p>
            <w:r>
              <w:rPr>
                <w:sz w:val="13"/>
              </w:rPr>
              <w:t>68.6%</w:t>
            </w:r>
          </w:p>
        </w:tc>
        <w:tc>
          <w:tcPr>
            <w:tcW w:type="dxa" w:w="1452"/>
            <w:vAlign w:val="center"/>
          </w:tcPr>
          <w:p>
            <w:r>
              <w:rPr>
                <w:sz w:val="13"/>
              </w:rPr>
              <w:t>31.4%</w:t>
            </w:r>
          </w:p>
        </w:tc>
        <w:tc>
          <w:tcPr>
            <w:tcW w:type="dxa" w:w="1452"/>
            <w:vAlign w:val="center"/>
          </w:tcPr>
          <w:p>
            <w:r>
              <w:rPr>
                <w:sz w:val="13"/>
              </w:rPr>
            </w:r>
          </w:p>
        </w:tc>
      </w:tr>
      <w:tr>
        <w:tc>
          <w:tcPr>
            <w:tcW w:type="dxa" w:w="1452"/>
            <w:vAlign w:val="center"/>
          </w:tcPr>
          <w:p>
            <w:r>
              <w:rPr>
                <w:sz w:val="13"/>
              </w:rPr>
              <w:t>Yes</w:t>
            </w:r>
          </w:p>
        </w:tc>
        <w:tc>
          <w:tcPr>
            <w:tcW w:type="dxa" w:w="1452"/>
            <w:vAlign w:val="center"/>
          </w:tcPr>
          <w:p>
            <w:r>
              <w:rPr>
                <w:sz w:val="13"/>
              </w:rPr>
              <w:t>82</w:t>
            </w:r>
          </w:p>
        </w:tc>
        <w:tc>
          <w:tcPr>
            <w:tcW w:type="dxa" w:w="1452"/>
            <w:vAlign w:val="center"/>
          </w:tcPr>
          <w:p>
            <w:r>
              <w:rPr>
                <w:sz w:val="13"/>
              </w:rPr>
              <w:t>56</w:t>
            </w:r>
          </w:p>
        </w:tc>
        <w:tc>
          <w:tcPr>
            <w:tcW w:type="dxa" w:w="1452"/>
            <w:vAlign w:val="center"/>
          </w:tcPr>
          <w:p>
            <w:r>
              <w:rPr>
                <w:sz w:val="13"/>
              </w:rPr>
              <w:t>26</w:t>
            </w:r>
          </w:p>
        </w:tc>
        <w:tc>
          <w:tcPr>
            <w:tcW w:type="dxa" w:w="1452"/>
            <w:vAlign w:val="center"/>
          </w:tcPr>
          <w:p>
            <w:r>
              <w:rPr>
                <w:sz w:val="13"/>
              </w:rPr>
              <w:t>68.3%</w:t>
            </w:r>
          </w:p>
        </w:tc>
        <w:tc>
          <w:tcPr>
            <w:tcW w:type="dxa" w:w="1452"/>
            <w:vAlign w:val="center"/>
          </w:tcPr>
          <w:p>
            <w:r>
              <w:rPr>
                <w:sz w:val="13"/>
              </w:rPr>
              <w:t>31.7%</w:t>
            </w:r>
          </w:p>
        </w:tc>
        <w:tc>
          <w:tcPr>
            <w:tcW w:type="dxa" w:w="1452"/>
            <w:vAlign w:val="center"/>
          </w:tcPr>
          <w:p>
            <w:r>
              <w:rPr>
                <w:sz w:val="13"/>
              </w:rPr>
            </w:r>
          </w:p>
        </w:tc>
      </w:tr>
      <w:tr>
        <w:tc>
          <w:tcPr>
            <w:tcW w:type="dxa" w:w="1452"/>
            <w:vAlign w:val="center"/>
          </w:tcPr>
          <w:p>
            <w:r>
              <w:rPr>
                <w:sz w:val="13"/>
              </w:rPr>
              <w:t>Missing</w:t>
            </w:r>
          </w:p>
        </w:tc>
        <w:tc>
          <w:tcPr>
            <w:tcW w:type="dxa" w:w="1452"/>
            <w:vAlign w:val="center"/>
          </w:tcPr>
          <w:p>
            <w:r>
              <w:rPr>
                <w:sz w:val="13"/>
              </w:rPr>
              <w:t>32</w:t>
            </w:r>
          </w:p>
        </w:tc>
        <w:tc>
          <w:tcPr>
            <w:tcW w:type="dxa" w:w="1452"/>
            <w:vAlign w:val="center"/>
          </w:tcPr>
          <w:p>
            <w:r>
              <w:rPr>
                <w:sz w:val="13"/>
              </w:rPr>
              <w:t>23</w:t>
            </w:r>
          </w:p>
        </w:tc>
        <w:tc>
          <w:tcPr>
            <w:tcW w:type="dxa" w:w="1452"/>
            <w:vAlign w:val="center"/>
          </w:tcPr>
          <w:p>
            <w:r>
              <w:rPr>
                <w:sz w:val="13"/>
              </w:rPr>
              <w:t>9</w:t>
            </w:r>
          </w:p>
        </w:tc>
        <w:tc>
          <w:tcPr>
            <w:tcW w:type="dxa" w:w="1452"/>
            <w:vAlign w:val="center"/>
          </w:tcPr>
          <w:p>
            <w:r>
              <w:rPr>
                <w:sz w:val="13"/>
              </w:rPr>
              <w:t>71.9%</w:t>
            </w:r>
          </w:p>
        </w:tc>
        <w:tc>
          <w:tcPr>
            <w:tcW w:type="dxa" w:w="1452"/>
            <w:vAlign w:val="center"/>
          </w:tcPr>
          <w:p>
            <w:r>
              <w:rPr>
                <w:sz w:val="13"/>
              </w:rPr>
              <w:t>28.1%</w:t>
            </w:r>
          </w:p>
        </w:tc>
        <w:tc>
          <w:tcPr>
            <w:tcW w:type="dxa" w:w="1452"/>
            <w:vAlign w:val="center"/>
          </w:tcPr>
          <w:p>
            <w:r>
              <w:rPr>
                <w:sz w:val="13"/>
              </w:rPr>
            </w:r>
          </w:p>
        </w:tc>
      </w:tr>
    </w:tbl>
    <w:p>
      <w:pPr>
        <w:pStyle w:val="Heading2"/>
      </w:pPr>
      <w:r>
        <w:t>Loan amount quartiles</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shd w:fill="17365D"/>
          </w:tcPr>
          <w:p>
            <w:r>
              <w:rPr>
                <w:b/>
                <w:color w:val="FFFFFF"/>
                <w:sz w:val="13"/>
              </w:rPr>
              <w:t>Loan amount quartiles</w:t>
            </w:r>
          </w:p>
        </w:tc>
        <w:tc>
          <w:tcPr>
            <w:tcW w:type="dxa" w:w="1452"/>
            <w:shd w:fill="17365D"/>
          </w:tcPr>
          <w:p>
            <w:r>
              <w:rPr>
                <w:b/>
                <w:color w:val="FFFFFF"/>
                <w:sz w:val="13"/>
              </w:rPr>
              <w:t>Applications</w:t>
            </w:r>
          </w:p>
        </w:tc>
        <w:tc>
          <w:tcPr>
            <w:tcW w:type="dxa" w:w="1452"/>
            <w:shd w:fill="17365D"/>
          </w:tcPr>
          <w:p>
            <w:r>
              <w:rPr>
                <w:b/>
                <w:color w:val="FFFFFF"/>
                <w:sz w:val="13"/>
              </w:rPr>
              <w:t>Approved</w:t>
            </w:r>
          </w:p>
        </w:tc>
        <w:tc>
          <w:tcPr>
            <w:tcW w:type="dxa" w:w="1452"/>
            <w:shd w:fill="17365D"/>
          </w:tcPr>
          <w:p>
            <w:r>
              <w:rPr>
                <w:b/>
                <w:color w:val="FFFFFF"/>
                <w:sz w:val="13"/>
              </w:rPr>
              <w:t>Rejected</w:t>
            </w:r>
          </w:p>
        </w:tc>
        <w:tc>
          <w:tcPr>
            <w:tcW w:type="dxa" w:w="1452"/>
            <w:shd w:fill="17365D"/>
          </w:tcPr>
          <w:p>
            <w:r>
              <w:rPr>
                <w:b/>
                <w:color w:val="FFFFFF"/>
                <w:sz w:val="13"/>
              </w:rPr>
              <w:t>Approval rate</w:t>
            </w:r>
          </w:p>
        </w:tc>
        <w:tc>
          <w:tcPr>
            <w:tcW w:type="dxa" w:w="1452"/>
            <w:shd w:fill="17365D"/>
          </w:tcPr>
          <w:p>
            <w:r>
              <w:rPr>
                <w:b/>
                <w:color w:val="FFFFFF"/>
                <w:sz w:val="13"/>
              </w:rPr>
              <w:t>Rejection rate</w:t>
            </w:r>
          </w:p>
        </w:tc>
        <w:tc>
          <w:tcPr>
            <w:tcW w:type="dxa" w:w="1452"/>
            <w:shd w:fill="17365D"/>
          </w:tcPr>
          <w:p>
            <w:r>
              <w:rPr>
                <w:b/>
                <w:color w:val="FFFFFF"/>
                <w:sz w:val="13"/>
              </w:rPr>
              <w:t>Caution</w:t>
            </w:r>
          </w:p>
        </w:tc>
      </w:tr>
      <w:tr>
        <w:tc>
          <w:tcPr>
            <w:tcW w:type="dxa" w:w="1452"/>
            <w:vAlign w:val="center"/>
          </w:tcPr>
          <w:p>
            <w:r>
              <w:rPr>
                <w:sz w:val="13"/>
              </w:rPr>
              <w:t>Q1 (Lowest)</w:t>
            </w:r>
          </w:p>
        </w:tc>
        <w:tc>
          <w:tcPr>
            <w:tcW w:type="dxa" w:w="1452"/>
            <w:vAlign w:val="center"/>
          </w:tcPr>
          <w:p>
            <w:r>
              <w:rPr>
                <w:sz w:val="13"/>
              </w:rPr>
              <w:t>154</w:t>
            </w:r>
          </w:p>
        </w:tc>
        <w:tc>
          <w:tcPr>
            <w:tcW w:type="dxa" w:w="1452"/>
            <w:vAlign w:val="center"/>
          </w:tcPr>
          <w:p>
            <w:r>
              <w:rPr>
                <w:sz w:val="13"/>
              </w:rPr>
              <w:t>107</w:t>
            </w:r>
          </w:p>
        </w:tc>
        <w:tc>
          <w:tcPr>
            <w:tcW w:type="dxa" w:w="1452"/>
            <w:vAlign w:val="center"/>
          </w:tcPr>
          <w:p>
            <w:r>
              <w:rPr>
                <w:sz w:val="13"/>
              </w:rPr>
              <w:t>47</w:t>
            </w:r>
          </w:p>
        </w:tc>
        <w:tc>
          <w:tcPr>
            <w:tcW w:type="dxa" w:w="1452"/>
            <w:vAlign w:val="center"/>
          </w:tcPr>
          <w:p>
            <w:r>
              <w:rPr>
                <w:sz w:val="13"/>
              </w:rPr>
              <w:t>69.5%</w:t>
            </w:r>
          </w:p>
        </w:tc>
        <w:tc>
          <w:tcPr>
            <w:tcW w:type="dxa" w:w="1452"/>
            <w:vAlign w:val="center"/>
          </w:tcPr>
          <w:p>
            <w:r>
              <w:rPr>
                <w:sz w:val="13"/>
              </w:rPr>
              <w:t>30.5%</w:t>
            </w:r>
          </w:p>
        </w:tc>
        <w:tc>
          <w:tcPr>
            <w:tcW w:type="dxa" w:w="1452"/>
            <w:vAlign w:val="center"/>
          </w:tcPr>
          <w:p>
            <w:r>
              <w:rPr>
                <w:sz w:val="13"/>
              </w:rPr>
            </w:r>
          </w:p>
        </w:tc>
      </w:tr>
      <w:tr>
        <w:tc>
          <w:tcPr>
            <w:tcW w:type="dxa" w:w="1452"/>
            <w:vAlign w:val="center"/>
          </w:tcPr>
          <w:p>
            <w:r>
              <w:rPr>
                <w:sz w:val="13"/>
              </w:rPr>
              <w:t>Q2</w:t>
            </w:r>
          </w:p>
        </w:tc>
        <w:tc>
          <w:tcPr>
            <w:tcW w:type="dxa" w:w="1452"/>
            <w:vAlign w:val="center"/>
          </w:tcPr>
          <w:p>
            <w:r>
              <w:rPr>
                <w:sz w:val="13"/>
              </w:rPr>
              <w:t>152</w:t>
            </w:r>
          </w:p>
        </w:tc>
        <w:tc>
          <w:tcPr>
            <w:tcW w:type="dxa" w:w="1452"/>
            <w:vAlign w:val="center"/>
          </w:tcPr>
          <w:p>
            <w:r>
              <w:rPr>
                <w:sz w:val="13"/>
              </w:rPr>
              <w:t>109</w:t>
            </w:r>
          </w:p>
        </w:tc>
        <w:tc>
          <w:tcPr>
            <w:tcW w:type="dxa" w:w="1452"/>
            <w:vAlign w:val="center"/>
          </w:tcPr>
          <w:p>
            <w:r>
              <w:rPr>
                <w:sz w:val="13"/>
              </w:rPr>
              <w:t>43</w:t>
            </w:r>
          </w:p>
        </w:tc>
        <w:tc>
          <w:tcPr>
            <w:tcW w:type="dxa" w:w="1452"/>
            <w:vAlign w:val="center"/>
          </w:tcPr>
          <w:p>
            <w:r>
              <w:rPr>
                <w:sz w:val="13"/>
              </w:rPr>
              <w:t>71.7%</w:t>
            </w:r>
          </w:p>
        </w:tc>
        <w:tc>
          <w:tcPr>
            <w:tcW w:type="dxa" w:w="1452"/>
            <w:vAlign w:val="center"/>
          </w:tcPr>
          <w:p>
            <w:r>
              <w:rPr>
                <w:sz w:val="13"/>
              </w:rPr>
              <w:t>28.3%</w:t>
            </w:r>
          </w:p>
        </w:tc>
        <w:tc>
          <w:tcPr>
            <w:tcW w:type="dxa" w:w="1452"/>
            <w:vAlign w:val="center"/>
          </w:tcPr>
          <w:p>
            <w:r>
              <w:rPr>
                <w:sz w:val="13"/>
              </w:rPr>
            </w:r>
          </w:p>
        </w:tc>
      </w:tr>
      <w:tr>
        <w:tc>
          <w:tcPr>
            <w:tcW w:type="dxa" w:w="1452"/>
            <w:vAlign w:val="center"/>
          </w:tcPr>
          <w:p>
            <w:r>
              <w:rPr>
                <w:sz w:val="13"/>
              </w:rPr>
              <w:t>Q3</w:t>
            </w:r>
          </w:p>
        </w:tc>
        <w:tc>
          <w:tcPr>
            <w:tcW w:type="dxa" w:w="1452"/>
            <w:vAlign w:val="center"/>
          </w:tcPr>
          <w:p>
            <w:r>
              <w:rPr>
                <w:sz w:val="13"/>
              </w:rPr>
              <w:t>140</w:t>
            </w:r>
          </w:p>
        </w:tc>
        <w:tc>
          <w:tcPr>
            <w:tcW w:type="dxa" w:w="1452"/>
            <w:vAlign w:val="center"/>
          </w:tcPr>
          <w:p>
            <w:r>
              <w:rPr>
                <w:sz w:val="13"/>
              </w:rPr>
              <w:t>101</w:t>
            </w:r>
          </w:p>
        </w:tc>
        <w:tc>
          <w:tcPr>
            <w:tcW w:type="dxa" w:w="1452"/>
            <w:vAlign w:val="center"/>
          </w:tcPr>
          <w:p>
            <w:r>
              <w:rPr>
                <w:sz w:val="13"/>
              </w:rPr>
              <w:t>39</w:t>
            </w:r>
          </w:p>
        </w:tc>
        <w:tc>
          <w:tcPr>
            <w:tcW w:type="dxa" w:w="1452"/>
            <w:vAlign w:val="center"/>
          </w:tcPr>
          <w:p>
            <w:r>
              <w:rPr>
                <w:sz w:val="13"/>
              </w:rPr>
              <w:t>72.1%</w:t>
            </w:r>
          </w:p>
        </w:tc>
        <w:tc>
          <w:tcPr>
            <w:tcW w:type="dxa" w:w="1452"/>
            <w:vAlign w:val="center"/>
          </w:tcPr>
          <w:p>
            <w:r>
              <w:rPr>
                <w:sz w:val="13"/>
              </w:rPr>
              <w:t>27.9%</w:t>
            </w:r>
          </w:p>
        </w:tc>
        <w:tc>
          <w:tcPr>
            <w:tcW w:type="dxa" w:w="1452"/>
            <w:vAlign w:val="center"/>
          </w:tcPr>
          <w:p>
            <w:r>
              <w:rPr>
                <w:sz w:val="13"/>
              </w:rPr>
            </w:r>
          </w:p>
        </w:tc>
      </w:tr>
      <w:tr>
        <w:tc>
          <w:tcPr>
            <w:tcW w:type="dxa" w:w="1452"/>
            <w:vAlign w:val="center"/>
          </w:tcPr>
          <w:p>
            <w:r>
              <w:rPr>
                <w:sz w:val="13"/>
              </w:rPr>
              <w:t>Q4 (Highest)</w:t>
            </w:r>
          </w:p>
        </w:tc>
        <w:tc>
          <w:tcPr>
            <w:tcW w:type="dxa" w:w="1452"/>
            <w:vAlign w:val="center"/>
          </w:tcPr>
          <w:p>
            <w:r>
              <w:rPr>
                <w:sz w:val="13"/>
              </w:rPr>
              <w:t>146</w:t>
            </w:r>
          </w:p>
        </w:tc>
        <w:tc>
          <w:tcPr>
            <w:tcW w:type="dxa" w:w="1452"/>
            <w:vAlign w:val="center"/>
          </w:tcPr>
          <w:p>
            <w:r>
              <w:rPr>
                <w:sz w:val="13"/>
              </w:rPr>
              <w:t>94</w:t>
            </w:r>
          </w:p>
        </w:tc>
        <w:tc>
          <w:tcPr>
            <w:tcW w:type="dxa" w:w="1452"/>
            <w:vAlign w:val="center"/>
          </w:tcPr>
          <w:p>
            <w:r>
              <w:rPr>
                <w:sz w:val="13"/>
              </w:rPr>
              <w:t>52</w:t>
            </w:r>
          </w:p>
        </w:tc>
        <w:tc>
          <w:tcPr>
            <w:tcW w:type="dxa" w:w="1452"/>
            <w:vAlign w:val="center"/>
          </w:tcPr>
          <w:p>
            <w:r>
              <w:rPr>
                <w:sz w:val="13"/>
              </w:rPr>
              <w:t>64.4%</w:t>
            </w:r>
          </w:p>
        </w:tc>
        <w:tc>
          <w:tcPr>
            <w:tcW w:type="dxa" w:w="1452"/>
            <w:vAlign w:val="center"/>
          </w:tcPr>
          <w:p>
            <w:r>
              <w:rPr>
                <w:sz w:val="13"/>
              </w:rPr>
              <w:t>35.6%</w:t>
            </w:r>
          </w:p>
        </w:tc>
        <w:tc>
          <w:tcPr>
            <w:tcW w:type="dxa" w:w="1452"/>
            <w:vAlign w:val="center"/>
          </w:tcPr>
          <w:p>
            <w:r>
              <w:rPr>
                <w:sz w:val="13"/>
              </w:rPr>
            </w:r>
          </w:p>
        </w:tc>
      </w:tr>
      <w:tr>
        <w:tc>
          <w:tcPr>
            <w:tcW w:type="dxa" w:w="1452"/>
            <w:vAlign w:val="center"/>
          </w:tcPr>
          <w:p>
            <w:r>
              <w:rPr>
                <w:sz w:val="13"/>
              </w:rPr>
              <w:t>Missing</w:t>
            </w:r>
          </w:p>
        </w:tc>
        <w:tc>
          <w:tcPr>
            <w:tcW w:type="dxa" w:w="1452"/>
            <w:vAlign w:val="center"/>
          </w:tcPr>
          <w:p>
            <w:r>
              <w:rPr>
                <w:sz w:val="13"/>
              </w:rPr>
              <w:t>22</w:t>
            </w:r>
          </w:p>
        </w:tc>
        <w:tc>
          <w:tcPr>
            <w:tcW w:type="dxa" w:w="1452"/>
            <w:vAlign w:val="center"/>
          </w:tcPr>
          <w:p>
            <w:r>
              <w:rPr>
                <w:sz w:val="13"/>
              </w:rPr>
              <w:t>11</w:t>
            </w:r>
          </w:p>
        </w:tc>
        <w:tc>
          <w:tcPr>
            <w:tcW w:type="dxa" w:w="1452"/>
            <w:vAlign w:val="center"/>
          </w:tcPr>
          <w:p>
            <w:r>
              <w:rPr>
                <w:sz w:val="13"/>
              </w:rPr>
              <w:t>11</w:t>
            </w:r>
          </w:p>
        </w:tc>
        <w:tc>
          <w:tcPr>
            <w:tcW w:type="dxa" w:w="1452"/>
            <w:vAlign w:val="center"/>
          </w:tcPr>
          <w:p>
            <w:r>
              <w:rPr>
                <w:sz w:val="13"/>
              </w:rPr>
              <w:t>50.0%</w:t>
            </w:r>
          </w:p>
        </w:tc>
        <w:tc>
          <w:tcPr>
            <w:tcW w:type="dxa" w:w="1452"/>
            <w:vAlign w:val="center"/>
          </w:tcPr>
          <w:p>
            <w:r>
              <w:rPr>
                <w:sz w:val="13"/>
              </w:rPr>
              <w:t>50.0%</w:t>
            </w:r>
          </w:p>
        </w:tc>
        <w:tc>
          <w:tcPr>
            <w:tcW w:type="dxa" w:w="1452"/>
            <w:vAlign w:val="center"/>
          </w:tcPr>
          <w:p>
            <w:r>
              <w:rPr>
                <w:sz w:val="13"/>
              </w:rPr>
              <w:t>Small sample</w:t>
            </w:r>
          </w:p>
        </w:tc>
      </w:tr>
    </w:tbl>
    <w:p>
      <w:pPr>
        <w:pStyle w:val="Heading2"/>
      </w:pPr>
      <w:r>
        <w:t>Loan term</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shd w:fill="17365D"/>
          </w:tcPr>
          <w:p>
            <w:r>
              <w:rPr>
                <w:b/>
                <w:color w:val="FFFFFF"/>
                <w:sz w:val="13"/>
              </w:rPr>
              <w:t>Loan term</w:t>
            </w:r>
          </w:p>
        </w:tc>
        <w:tc>
          <w:tcPr>
            <w:tcW w:type="dxa" w:w="1452"/>
            <w:shd w:fill="17365D"/>
          </w:tcPr>
          <w:p>
            <w:r>
              <w:rPr>
                <w:b/>
                <w:color w:val="FFFFFF"/>
                <w:sz w:val="13"/>
              </w:rPr>
              <w:t>Applications</w:t>
            </w:r>
          </w:p>
        </w:tc>
        <w:tc>
          <w:tcPr>
            <w:tcW w:type="dxa" w:w="1452"/>
            <w:shd w:fill="17365D"/>
          </w:tcPr>
          <w:p>
            <w:r>
              <w:rPr>
                <w:b/>
                <w:color w:val="FFFFFF"/>
                <w:sz w:val="13"/>
              </w:rPr>
              <w:t>Approved</w:t>
            </w:r>
          </w:p>
        </w:tc>
        <w:tc>
          <w:tcPr>
            <w:tcW w:type="dxa" w:w="1452"/>
            <w:shd w:fill="17365D"/>
          </w:tcPr>
          <w:p>
            <w:r>
              <w:rPr>
                <w:b/>
                <w:color w:val="FFFFFF"/>
                <w:sz w:val="13"/>
              </w:rPr>
              <w:t>Rejected</w:t>
            </w:r>
          </w:p>
        </w:tc>
        <w:tc>
          <w:tcPr>
            <w:tcW w:type="dxa" w:w="1452"/>
            <w:shd w:fill="17365D"/>
          </w:tcPr>
          <w:p>
            <w:r>
              <w:rPr>
                <w:b/>
                <w:color w:val="FFFFFF"/>
                <w:sz w:val="13"/>
              </w:rPr>
              <w:t>Approval rate</w:t>
            </w:r>
          </w:p>
        </w:tc>
        <w:tc>
          <w:tcPr>
            <w:tcW w:type="dxa" w:w="1452"/>
            <w:shd w:fill="17365D"/>
          </w:tcPr>
          <w:p>
            <w:r>
              <w:rPr>
                <w:b/>
                <w:color w:val="FFFFFF"/>
                <w:sz w:val="13"/>
              </w:rPr>
              <w:t>Rejection rate</w:t>
            </w:r>
          </w:p>
        </w:tc>
        <w:tc>
          <w:tcPr>
            <w:tcW w:type="dxa" w:w="1452"/>
            <w:shd w:fill="17365D"/>
          </w:tcPr>
          <w:p>
            <w:r>
              <w:rPr>
                <w:b/>
                <w:color w:val="FFFFFF"/>
                <w:sz w:val="13"/>
              </w:rPr>
              <w:t>Caution</w:t>
            </w:r>
          </w:p>
        </w:tc>
      </w:tr>
      <w:tr>
        <w:tc>
          <w:tcPr>
            <w:tcW w:type="dxa" w:w="1452"/>
            <w:vAlign w:val="center"/>
          </w:tcPr>
          <w:p>
            <w:r>
              <w:rPr>
                <w:sz w:val="13"/>
              </w:rPr>
              <w:t>12.0</w:t>
            </w:r>
          </w:p>
        </w:tc>
        <w:tc>
          <w:tcPr>
            <w:tcW w:type="dxa" w:w="1452"/>
            <w:vAlign w:val="center"/>
          </w:tcPr>
          <w:p>
            <w:r>
              <w:rPr>
                <w:sz w:val="13"/>
              </w:rPr>
              <w:t>1</w:t>
            </w:r>
          </w:p>
        </w:tc>
        <w:tc>
          <w:tcPr>
            <w:tcW w:type="dxa" w:w="1452"/>
            <w:vAlign w:val="center"/>
          </w:tcPr>
          <w:p>
            <w:r>
              <w:rPr>
                <w:sz w:val="13"/>
              </w:rPr>
              <w:t>1</w:t>
            </w:r>
          </w:p>
        </w:tc>
        <w:tc>
          <w:tcPr>
            <w:tcW w:type="dxa" w:w="1452"/>
            <w:vAlign w:val="center"/>
          </w:tcPr>
          <w:p>
            <w:r>
              <w:rPr>
                <w:sz w:val="13"/>
              </w:rPr>
              <w:t>0</w:t>
            </w:r>
          </w:p>
        </w:tc>
        <w:tc>
          <w:tcPr>
            <w:tcW w:type="dxa" w:w="1452"/>
            <w:vAlign w:val="center"/>
          </w:tcPr>
          <w:p>
            <w:r>
              <w:rPr>
                <w:sz w:val="13"/>
              </w:rPr>
              <w:t>100.0%</w:t>
            </w:r>
          </w:p>
        </w:tc>
        <w:tc>
          <w:tcPr>
            <w:tcW w:type="dxa" w:w="1452"/>
            <w:vAlign w:val="center"/>
          </w:tcPr>
          <w:p>
            <w:r>
              <w:rPr>
                <w:sz w:val="13"/>
              </w:rPr>
              <w:t>0.0%</w:t>
            </w:r>
          </w:p>
        </w:tc>
        <w:tc>
          <w:tcPr>
            <w:tcW w:type="dxa" w:w="1452"/>
            <w:vAlign w:val="center"/>
          </w:tcPr>
          <w:p>
            <w:r>
              <w:rPr>
                <w:sz w:val="13"/>
              </w:rPr>
              <w:t>Small sample</w:t>
            </w:r>
          </w:p>
        </w:tc>
      </w:tr>
      <w:tr>
        <w:tc>
          <w:tcPr>
            <w:tcW w:type="dxa" w:w="1452"/>
            <w:vAlign w:val="center"/>
          </w:tcPr>
          <w:p>
            <w:r>
              <w:rPr>
                <w:sz w:val="13"/>
              </w:rPr>
              <w:t>36.0</w:t>
            </w:r>
          </w:p>
        </w:tc>
        <w:tc>
          <w:tcPr>
            <w:tcW w:type="dxa" w:w="1452"/>
            <w:vAlign w:val="center"/>
          </w:tcPr>
          <w:p>
            <w:r>
              <w:rPr>
                <w:sz w:val="13"/>
              </w:rPr>
              <w:t>2</w:t>
            </w:r>
          </w:p>
        </w:tc>
        <w:tc>
          <w:tcPr>
            <w:tcW w:type="dxa" w:w="1452"/>
            <w:vAlign w:val="center"/>
          </w:tcPr>
          <w:p>
            <w:r>
              <w:rPr>
                <w:sz w:val="13"/>
              </w:rPr>
              <w:t>0</w:t>
            </w:r>
          </w:p>
        </w:tc>
        <w:tc>
          <w:tcPr>
            <w:tcW w:type="dxa" w:w="1452"/>
            <w:vAlign w:val="center"/>
          </w:tcPr>
          <w:p>
            <w:r>
              <w:rPr>
                <w:sz w:val="13"/>
              </w:rPr>
              <w:t>2</w:t>
            </w:r>
          </w:p>
        </w:tc>
        <w:tc>
          <w:tcPr>
            <w:tcW w:type="dxa" w:w="1452"/>
            <w:vAlign w:val="center"/>
          </w:tcPr>
          <w:p>
            <w:r>
              <w:rPr>
                <w:sz w:val="13"/>
              </w:rPr>
              <w:t>0.0%</w:t>
            </w:r>
          </w:p>
        </w:tc>
        <w:tc>
          <w:tcPr>
            <w:tcW w:type="dxa" w:w="1452"/>
            <w:vAlign w:val="center"/>
          </w:tcPr>
          <w:p>
            <w:r>
              <w:rPr>
                <w:sz w:val="13"/>
              </w:rPr>
              <w:t>100.0%</w:t>
            </w:r>
          </w:p>
        </w:tc>
        <w:tc>
          <w:tcPr>
            <w:tcW w:type="dxa" w:w="1452"/>
            <w:vAlign w:val="center"/>
          </w:tcPr>
          <w:p>
            <w:r>
              <w:rPr>
                <w:sz w:val="13"/>
              </w:rPr>
              <w:t>Small sample</w:t>
            </w:r>
          </w:p>
        </w:tc>
      </w:tr>
      <w:tr>
        <w:tc>
          <w:tcPr>
            <w:tcW w:type="dxa" w:w="1452"/>
            <w:vAlign w:val="center"/>
          </w:tcPr>
          <w:p>
            <w:r>
              <w:rPr>
                <w:sz w:val="13"/>
              </w:rPr>
              <w:t>60.0</w:t>
            </w:r>
          </w:p>
        </w:tc>
        <w:tc>
          <w:tcPr>
            <w:tcW w:type="dxa" w:w="1452"/>
            <w:vAlign w:val="center"/>
          </w:tcPr>
          <w:p>
            <w:r>
              <w:rPr>
                <w:sz w:val="13"/>
              </w:rPr>
              <w:t>2</w:t>
            </w:r>
          </w:p>
        </w:tc>
        <w:tc>
          <w:tcPr>
            <w:tcW w:type="dxa" w:w="1452"/>
            <w:vAlign w:val="center"/>
          </w:tcPr>
          <w:p>
            <w:r>
              <w:rPr>
                <w:sz w:val="13"/>
              </w:rPr>
              <w:t>2</w:t>
            </w:r>
          </w:p>
        </w:tc>
        <w:tc>
          <w:tcPr>
            <w:tcW w:type="dxa" w:w="1452"/>
            <w:vAlign w:val="center"/>
          </w:tcPr>
          <w:p>
            <w:r>
              <w:rPr>
                <w:sz w:val="13"/>
              </w:rPr>
              <w:t>0</w:t>
            </w:r>
          </w:p>
        </w:tc>
        <w:tc>
          <w:tcPr>
            <w:tcW w:type="dxa" w:w="1452"/>
            <w:vAlign w:val="center"/>
          </w:tcPr>
          <w:p>
            <w:r>
              <w:rPr>
                <w:sz w:val="13"/>
              </w:rPr>
              <w:t>100.0%</w:t>
            </w:r>
          </w:p>
        </w:tc>
        <w:tc>
          <w:tcPr>
            <w:tcW w:type="dxa" w:w="1452"/>
            <w:vAlign w:val="center"/>
          </w:tcPr>
          <w:p>
            <w:r>
              <w:rPr>
                <w:sz w:val="13"/>
              </w:rPr>
              <w:t>0.0%</w:t>
            </w:r>
          </w:p>
        </w:tc>
        <w:tc>
          <w:tcPr>
            <w:tcW w:type="dxa" w:w="1452"/>
            <w:vAlign w:val="center"/>
          </w:tcPr>
          <w:p>
            <w:r>
              <w:rPr>
                <w:sz w:val="13"/>
              </w:rPr>
              <w:t>Small sample</w:t>
            </w:r>
          </w:p>
        </w:tc>
      </w:tr>
      <w:tr>
        <w:tc>
          <w:tcPr>
            <w:tcW w:type="dxa" w:w="1452"/>
            <w:vAlign w:val="center"/>
          </w:tcPr>
          <w:p>
            <w:r>
              <w:rPr>
                <w:sz w:val="13"/>
              </w:rPr>
              <w:t>84.0</w:t>
            </w:r>
          </w:p>
        </w:tc>
        <w:tc>
          <w:tcPr>
            <w:tcW w:type="dxa" w:w="1452"/>
            <w:vAlign w:val="center"/>
          </w:tcPr>
          <w:p>
            <w:r>
              <w:rPr>
                <w:sz w:val="13"/>
              </w:rPr>
              <w:t>4</w:t>
            </w:r>
          </w:p>
        </w:tc>
        <w:tc>
          <w:tcPr>
            <w:tcW w:type="dxa" w:w="1452"/>
            <w:vAlign w:val="center"/>
          </w:tcPr>
          <w:p>
            <w:r>
              <w:rPr>
                <w:sz w:val="13"/>
              </w:rPr>
              <w:t>3</w:t>
            </w:r>
          </w:p>
        </w:tc>
        <w:tc>
          <w:tcPr>
            <w:tcW w:type="dxa" w:w="1452"/>
            <w:vAlign w:val="center"/>
          </w:tcPr>
          <w:p>
            <w:r>
              <w:rPr>
                <w:sz w:val="13"/>
              </w:rPr>
              <w:t>1</w:t>
            </w:r>
          </w:p>
        </w:tc>
        <w:tc>
          <w:tcPr>
            <w:tcW w:type="dxa" w:w="1452"/>
            <w:vAlign w:val="center"/>
          </w:tcPr>
          <w:p>
            <w:r>
              <w:rPr>
                <w:sz w:val="13"/>
              </w:rPr>
              <w:t>75.0%</w:t>
            </w:r>
          </w:p>
        </w:tc>
        <w:tc>
          <w:tcPr>
            <w:tcW w:type="dxa" w:w="1452"/>
            <w:vAlign w:val="center"/>
          </w:tcPr>
          <w:p>
            <w:r>
              <w:rPr>
                <w:sz w:val="13"/>
              </w:rPr>
              <w:t>25.0%</w:t>
            </w:r>
          </w:p>
        </w:tc>
        <w:tc>
          <w:tcPr>
            <w:tcW w:type="dxa" w:w="1452"/>
            <w:vAlign w:val="center"/>
          </w:tcPr>
          <w:p>
            <w:r>
              <w:rPr>
                <w:sz w:val="13"/>
              </w:rPr>
              <w:t>Small sample</w:t>
            </w:r>
          </w:p>
        </w:tc>
      </w:tr>
      <w:tr>
        <w:tc>
          <w:tcPr>
            <w:tcW w:type="dxa" w:w="1452"/>
            <w:vAlign w:val="center"/>
          </w:tcPr>
          <w:p>
            <w:r>
              <w:rPr>
                <w:sz w:val="13"/>
              </w:rPr>
              <w:t>120.0</w:t>
            </w:r>
          </w:p>
        </w:tc>
        <w:tc>
          <w:tcPr>
            <w:tcW w:type="dxa" w:w="1452"/>
            <w:vAlign w:val="center"/>
          </w:tcPr>
          <w:p>
            <w:r>
              <w:rPr>
                <w:sz w:val="13"/>
              </w:rPr>
              <w:t>3</w:t>
            </w:r>
          </w:p>
        </w:tc>
        <w:tc>
          <w:tcPr>
            <w:tcW w:type="dxa" w:w="1452"/>
            <w:vAlign w:val="center"/>
          </w:tcPr>
          <w:p>
            <w:r>
              <w:rPr>
                <w:sz w:val="13"/>
              </w:rPr>
              <w:t>3</w:t>
            </w:r>
          </w:p>
        </w:tc>
        <w:tc>
          <w:tcPr>
            <w:tcW w:type="dxa" w:w="1452"/>
            <w:vAlign w:val="center"/>
          </w:tcPr>
          <w:p>
            <w:r>
              <w:rPr>
                <w:sz w:val="13"/>
              </w:rPr>
              <w:t>0</w:t>
            </w:r>
          </w:p>
        </w:tc>
        <w:tc>
          <w:tcPr>
            <w:tcW w:type="dxa" w:w="1452"/>
            <w:vAlign w:val="center"/>
          </w:tcPr>
          <w:p>
            <w:r>
              <w:rPr>
                <w:sz w:val="13"/>
              </w:rPr>
              <w:t>100.0%</w:t>
            </w:r>
          </w:p>
        </w:tc>
        <w:tc>
          <w:tcPr>
            <w:tcW w:type="dxa" w:w="1452"/>
            <w:vAlign w:val="center"/>
          </w:tcPr>
          <w:p>
            <w:r>
              <w:rPr>
                <w:sz w:val="13"/>
              </w:rPr>
              <w:t>0.0%</w:t>
            </w:r>
          </w:p>
        </w:tc>
        <w:tc>
          <w:tcPr>
            <w:tcW w:type="dxa" w:w="1452"/>
            <w:vAlign w:val="center"/>
          </w:tcPr>
          <w:p>
            <w:r>
              <w:rPr>
                <w:sz w:val="13"/>
              </w:rPr>
              <w:t>Small sample</w:t>
            </w:r>
          </w:p>
        </w:tc>
      </w:tr>
      <w:tr>
        <w:tc>
          <w:tcPr>
            <w:tcW w:type="dxa" w:w="1452"/>
            <w:vAlign w:val="center"/>
          </w:tcPr>
          <w:p>
            <w:r>
              <w:rPr>
                <w:sz w:val="13"/>
              </w:rPr>
              <w:t>180.0</w:t>
            </w:r>
          </w:p>
        </w:tc>
        <w:tc>
          <w:tcPr>
            <w:tcW w:type="dxa" w:w="1452"/>
            <w:vAlign w:val="center"/>
          </w:tcPr>
          <w:p>
            <w:r>
              <w:rPr>
                <w:sz w:val="13"/>
              </w:rPr>
              <w:t>44</w:t>
            </w:r>
          </w:p>
        </w:tc>
        <w:tc>
          <w:tcPr>
            <w:tcW w:type="dxa" w:w="1452"/>
            <w:vAlign w:val="center"/>
          </w:tcPr>
          <w:p>
            <w:r>
              <w:rPr>
                <w:sz w:val="13"/>
              </w:rPr>
              <w:t>29</w:t>
            </w:r>
          </w:p>
        </w:tc>
        <w:tc>
          <w:tcPr>
            <w:tcW w:type="dxa" w:w="1452"/>
            <w:vAlign w:val="center"/>
          </w:tcPr>
          <w:p>
            <w:r>
              <w:rPr>
                <w:sz w:val="13"/>
              </w:rPr>
              <w:t>15</w:t>
            </w:r>
          </w:p>
        </w:tc>
        <w:tc>
          <w:tcPr>
            <w:tcW w:type="dxa" w:w="1452"/>
            <w:vAlign w:val="center"/>
          </w:tcPr>
          <w:p>
            <w:r>
              <w:rPr>
                <w:sz w:val="13"/>
              </w:rPr>
              <w:t>65.9%</w:t>
            </w:r>
          </w:p>
        </w:tc>
        <w:tc>
          <w:tcPr>
            <w:tcW w:type="dxa" w:w="1452"/>
            <w:vAlign w:val="center"/>
          </w:tcPr>
          <w:p>
            <w:r>
              <w:rPr>
                <w:sz w:val="13"/>
              </w:rPr>
              <w:t>34.1%</w:t>
            </w:r>
          </w:p>
        </w:tc>
        <w:tc>
          <w:tcPr>
            <w:tcW w:type="dxa" w:w="1452"/>
            <w:vAlign w:val="center"/>
          </w:tcPr>
          <w:p>
            <w:r>
              <w:rPr>
                <w:sz w:val="13"/>
              </w:rPr>
            </w:r>
          </w:p>
        </w:tc>
      </w:tr>
      <w:tr>
        <w:tc>
          <w:tcPr>
            <w:tcW w:type="dxa" w:w="1452"/>
            <w:vAlign w:val="center"/>
          </w:tcPr>
          <w:p>
            <w:r>
              <w:rPr>
                <w:sz w:val="13"/>
              </w:rPr>
              <w:t>240.0</w:t>
            </w:r>
          </w:p>
        </w:tc>
        <w:tc>
          <w:tcPr>
            <w:tcW w:type="dxa" w:w="1452"/>
            <w:vAlign w:val="center"/>
          </w:tcPr>
          <w:p>
            <w:r>
              <w:rPr>
                <w:sz w:val="13"/>
              </w:rPr>
              <w:t>4</w:t>
            </w:r>
          </w:p>
        </w:tc>
        <w:tc>
          <w:tcPr>
            <w:tcW w:type="dxa" w:w="1452"/>
            <w:vAlign w:val="center"/>
          </w:tcPr>
          <w:p>
            <w:r>
              <w:rPr>
                <w:sz w:val="13"/>
              </w:rPr>
              <w:t>3</w:t>
            </w:r>
          </w:p>
        </w:tc>
        <w:tc>
          <w:tcPr>
            <w:tcW w:type="dxa" w:w="1452"/>
            <w:vAlign w:val="center"/>
          </w:tcPr>
          <w:p>
            <w:r>
              <w:rPr>
                <w:sz w:val="13"/>
              </w:rPr>
              <w:t>1</w:t>
            </w:r>
          </w:p>
        </w:tc>
        <w:tc>
          <w:tcPr>
            <w:tcW w:type="dxa" w:w="1452"/>
            <w:vAlign w:val="center"/>
          </w:tcPr>
          <w:p>
            <w:r>
              <w:rPr>
                <w:sz w:val="13"/>
              </w:rPr>
              <w:t>75.0%</w:t>
            </w:r>
          </w:p>
        </w:tc>
        <w:tc>
          <w:tcPr>
            <w:tcW w:type="dxa" w:w="1452"/>
            <w:vAlign w:val="center"/>
          </w:tcPr>
          <w:p>
            <w:r>
              <w:rPr>
                <w:sz w:val="13"/>
              </w:rPr>
              <w:t>25.0%</w:t>
            </w:r>
          </w:p>
        </w:tc>
        <w:tc>
          <w:tcPr>
            <w:tcW w:type="dxa" w:w="1452"/>
            <w:vAlign w:val="center"/>
          </w:tcPr>
          <w:p>
            <w:r>
              <w:rPr>
                <w:sz w:val="13"/>
              </w:rPr>
              <w:t>Small sample</w:t>
            </w:r>
          </w:p>
        </w:tc>
      </w:tr>
      <w:tr>
        <w:tc>
          <w:tcPr>
            <w:tcW w:type="dxa" w:w="1452"/>
            <w:vAlign w:val="center"/>
          </w:tcPr>
          <w:p>
            <w:r>
              <w:rPr>
                <w:sz w:val="13"/>
              </w:rPr>
              <w:t>300.0</w:t>
            </w:r>
          </w:p>
        </w:tc>
        <w:tc>
          <w:tcPr>
            <w:tcW w:type="dxa" w:w="1452"/>
            <w:vAlign w:val="center"/>
          </w:tcPr>
          <w:p>
            <w:r>
              <w:rPr>
                <w:sz w:val="13"/>
              </w:rPr>
              <w:t>13</w:t>
            </w:r>
          </w:p>
        </w:tc>
        <w:tc>
          <w:tcPr>
            <w:tcW w:type="dxa" w:w="1452"/>
            <w:vAlign w:val="center"/>
          </w:tcPr>
          <w:p>
            <w:r>
              <w:rPr>
                <w:sz w:val="13"/>
              </w:rPr>
              <w:t>8</w:t>
            </w:r>
          </w:p>
        </w:tc>
        <w:tc>
          <w:tcPr>
            <w:tcW w:type="dxa" w:w="1452"/>
            <w:vAlign w:val="center"/>
          </w:tcPr>
          <w:p>
            <w:r>
              <w:rPr>
                <w:sz w:val="13"/>
              </w:rPr>
              <w:t>5</w:t>
            </w:r>
          </w:p>
        </w:tc>
        <w:tc>
          <w:tcPr>
            <w:tcW w:type="dxa" w:w="1452"/>
            <w:vAlign w:val="center"/>
          </w:tcPr>
          <w:p>
            <w:r>
              <w:rPr>
                <w:sz w:val="13"/>
              </w:rPr>
              <w:t>61.5%</w:t>
            </w:r>
          </w:p>
        </w:tc>
        <w:tc>
          <w:tcPr>
            <w:tcW w:type="dxa" w:w="1452"/>
            <w:vAlign w:val="center"/>
          </w:tcPr>
          <w:p>
            <w:r>
              <w:rPr>
                <w:sz w:val="13"/>
              </w:rPr>
              <w:t>38.5%</w:t>
            </w:r>
          </w:p>
        </w:tc>
        <w:tc>
          <w:tcPr>
            <w:tcW w:type="dxa" w:w="1452"/>
            <w:vAlign w:val="center"/>
          </w:tcPr>
          <w:p>
            <w:r>
              <w:rPr>
                <w:sz w:val="13"/>
              </w:rPr>
              <w:t>Small sample</w:t>
            </w:r>
          </w:p>
        </w:tc>
      </w:tr>
      <w:tr>
        <w:tc>
          <w:tcPr>
            <w:tcW w:type="dxa" w:w="1452"/>
            <w:vAlign w:val="center"/>
          </w:tcPr>
          <w:p>
            <w:r>
              <w:rPr>
                <w:sz w:val="13"/>
              </w:rPr>
              <w:t>360.0</w:t>
            </w:r>
          </w:p>
        </w:tc>
        <w:tc>
          <w:tcPr>
            <w:tcW w:type="dxa" w:w="1452"/>
            <w:vAlign w:val="center"/>
          </w:tcPr>
          <w:p>
            <w:r>
              <w:rPr>
                <w:sz w:val="13"/>
              </w:rPr>
              <w:t>512</w:t>
            </w:r>
          </w:p>
        </w:tc>
        <w:tc>
          <w:tcPr>
            <w:tcW w:type="dxa" w:w="1452"/>
            <w:vAlign w:val="center"/>
          </w:tcPr>
          <w:p>
            <w:r>
              <w:rPr>
                <w:sz w:val="13"/>
              </w:rPr>
              <w:t>359</w:t>
            </w:r>
          </w:p>
        </w:tc>
        <w:tc>
          <w:tcPr>
            <w:tcW w:type="dxa" w:w="1452"/>
            <w:vAlign w:val="center"/>
          </w:tcPr>
          <w:p>
            <w:r>
              <w:rPr>
                <w:sz w:val="13"/>
              </w:rPr>
              <w:t>153</w:t>
            </w:r>
          </w:p>
        </w:tc>
        <w:tc>
          <w:tcPr>
            <w:tcW w:type="dxa" w:w="1452"/>
            <w:vAlign w:val="center"/>
          </w:tcPr>
          <w:p>
            <w:r>
              <w:rPr>
                <w:sz w:val="13"/>
              </w:rPr>
              <w:t>70.1%</w:t>
            </w:r>
          </w:p>
        </w:tc>
        <w:tc>
          <w:tcPr>
            <w:tcW w:type="dxa" w:w="1452"/>
            <w:vAlign w:val="center"/>
          </w:tcPr>
          <w:p>
            <w:r>
              <w:rPr>
                <w:sz w:val="13"/>
              </w:rPr>
              <w:t>29.9%</w:t>
            </w:r>
          </w:p>
        </w:tc>
        <w:tc>
          <w:tcPr>
            <w:tcW w:type="dxa" w:w="1452"/>
            <w:vAlign w:val="center"/>
          </w:tcPr>
          <w:p>
            <w:r>
              <w:rPr>
                <w:sz w:val="13"/>
              </w:rPr>
            </w:r>
          </w:p>
        </w:tc>
      </w:tr>
      <w:tr>
        <w:tc>
          <w:tcPr>
            <w:tcW w:type="dxa" w:w="1452"/>
            <w:vAlign w:val="center"/>
          </w:tcPr>
          <w:p>
            <w:r>
              <w:rPr>
                <w:sz w:val="13"/>
              </w:rPr>
              <w:t>480.0</w:t>
            </w:r>
          </w:p>
        </w:tc>
        <w:tc>
          <w:tcPr>
            <w:tcW w:type="dxa" w:w="1452"/>
            <w:vAlign w:val="center"/>
          </w:tcPr>
          <w:p>
            <w:r>
              <w:rPr>
                <w:sz w:val="13"/>
              </w:rPr>
              <w:t>15</w:t>
            </w:r>
          </w:p>
        </w:tc>
        <w:tc>
          <w:tcPr>
            <w:tcW w:type="dxa" w:w="1452"/>
            <w:vAlign w:val="center"/>
          </w:tcPr>
          <w:p>
            <w:r>
              <w:rPr>
                <w:sz w:val="13"/>
              </w:rPr>
              <w:t>6</w:t>
            </w:r>
          </w:p>
        </w:tc>
        <w:tc>
          <w:tcPr>
            <w:tcW w:type="dxa" w:w="1452"/>
            <w:vAlign w:val="center"/>
          </w:tcPr>
          <w:p>
            <w:r>
              <w:rPr>
                <w:sz w:val="13"/>
              </w:rPr>
              <w:t>9</w:t>
            </w:r>
          </w:p>
        </w:tc>
        <w:tc>
          <w:tcPr>
            <w:tcW w:type="dxa" w:w="1452"/>
            <w:vAlign w:val="center"/>
          </w:tcPr>
          <w:p>
            <w:r>
              <w:rPr>
                <w:sz w:val="13"/>
              </w:rPr>
              <w:t>40.0%</w:t>
            </w:r>
          </w:p>
        </w:tc>
        <w:tc>
          <w:tcPr>
            <w:tcW w:type="dxa" w:w="1452"/>
            <w:vAlign w:val="center"/>
          </w:tcPr>
          <w:p>
            <w:r>
              <w:rPr>
                <w:sz w:val="13"/>
              </w:rPr>
              <w:t>60.0%</w:t>
            </w:r>
          </w:p>
        </w:tc>
        <w:tc>
          <w:tcPr>
            <w:tcW w:type="dxa" w:w="1452"/>
            <w:vAlign w:val="center"/>
          </w:tcPr>
          <w:p>
            <w:r>
              <w:rPr>
                <w:sz w:val="13"/>
              </w:rPr>
              <w:t>Small sample</w:t>
            </w:r>
          </w:p>
        </w:tc>
      </w:tr>
      <w:tr>
        <w:tc>
          <w:tcPr>
            <w:tcW w:type="dxa" w:w="1452"/>
            <w:vAlign w:val="center"/>
          </w:tcPr>
          <w:p>
            <w:r>
              <w:rPr>
                <w:sz w:val="13"/>
              </w:rPr>
              <w:t>Missing</w:t>
            </w:r>
          </w:p>
        </w:tc>
        <w:tc>
          <w:tcPr>
            <w:tcW w:type="dxa" w:w="1452"/>
            <w:vAlign w:val="center"/>
          </w:tcPr>
          <w:p>
            <w:r>
              <w:rPr>
                <w:sz w:val="13"/>
              </w:rPr>
              <w:t>14</w:t>
            </w:r>
          </w:p>
        </w:tc>
        <w:tc>
          <w:tcPr>
            <w:tcW w:type="dxa" w:w="1452"/>
            <w:vAlign w:val="center"/>
          </w:tcPr>
          <w:p>
            <w:r>
              <w:rPr>
                <w:sz w:val="13"/>
              </w:rPr>
              <w:t>8</w:t>
            </w:r>
          </w:p>
        </w:tc>
        <w:tc>
          <w:tcPr>
            <w:tcW w:type="dxa" w:w="1452"/>
            <w:vAlign w:val="center"/>
          </w:tcPr>
          <w:p>
            <w:r>
              <w:rPr>
                <w:sz w:val="13"/>
              </w:rPr>
              <w:t>6</w:t>
            </w:r>
          </w:p>
        </w:tc>
        <w:tc>
          <w:tcPr>
            <w:tcW w:type="dxa" w:w="1452"/>
            <w:vAlign w:val="center"/>
          </w:tcPr>
          <w:p>
            <w:r>
              <w:rPr>
                <w:sz w:val="13"/>
              </w:rPr>
              <w:t>57.1%</w:t>
            </w:r>
          </w:p>
        </w:tc>
        <w:tc>
          <w:tcPr>
            <w:tcW w:type="dxa" w:w="1452"/>
            <w:vAlign w:val="center"/>
          </w:tcPr>
          <w:p>
            <w:r>
              <w:rPr>
                <w:sz w:val="13"/>
              </w:rPr>
              <w:t>42.9%</w:t>
            </w:r>
          </w:p>
        </w:tc>
        <w:tc>
          <w:tcPr>
            <w:tcW w:type="dxa" w:w="1452"/>
            <w:vAlign w:val="center"/>
          </w:tcPr>
          <w:p>
            <w:r>
              <w:rPr>
                <w:sz w:val="13"/>
              </w:rPr>
              <w:t>Small sample</w:t>
            </w:r>
          </w:p>
        </w:tc>
      </w:tr>
    </w:tbl>
    <w:p>
      <w:r>
        <w:t>Quartile bands are data-driven and contain approximately equal numbers of valid observations. Comparisons are descriptive. Demographic attributes are not presented as causal drivers and should not be used to label individuals as risky.</w:t>
      </w:r>
    </w:p>
    <w:p>
      <w:pPr>
        <w:jc w:val="center"/>
      </w:pPr>
      <w:r>
        <w:drawing>
          <wp:inline xmlns:a="http://schemas.openxmlformats.org/drawingml/2006/main" xmlns:pic="http://schemas.openxmlformats.org/drawingml/2006/picture">
            <wp:extent cx="5303520" cy="3013848"/>
            <wp:docPr id="3" name="Picture 3"/>
            <wp:cNvGraphicFramePr>
              <a:graphicFrameLocks noChangeAspect="1"/>
            </wp:cNvGraphicFramePr>
            <a:graphic>
              <a:graphicData uri="http://schemas.openxmlformats.org/drawingml/2006/picture">
                <pic:pic>
                  <pic:nvPicPr>
                    <pic:cNvPr id="0" name="chart_credit.png"/>
                    <pic:cNvPicPr/>
                  </pic:nvPicPr>
                  <pic:blipFill>
                    <a:blip r:embed="rId12"/>
                    <a:stretch>
                      <a:fillRect/>
                    </a:stretch>
                  </pic:blipFill>
                  <pic:spPr>
                    <a:xfrm>
                      <a:off x="0" y="0"/>
                      <a:ext cx="5303520" cy="3013848"/>
                    </a:xfrm>
                    <a:prstGeom prst="rect"/>
                  </pic:spPr>
                </pic:pic>
              </a:graphicData>
            </a:graphic>
          </wp:inline>
        </w:drawing>
      </w:r>
    </w:p>
    <w:p>
      <w:pPr>
        <w:jc w:val="center"/>
      </w:pPr>
      <w:r>
        <w:rPr>
          <w:b/>
        </w:rPr>
        <w:t>Figure 3. Approval rate by credit history</w:t>
      </w:r>
    </w:p>
    <w:p>
      <w:r>
        <w:t>Interpretation: Recorded credit history shows a substantial outcome difference. Missing credit history remains a separate category and should not be inferred as good or poor.</w:t>
      </w:r>
    </w:p>
    <w:p>
      <w:pPr>
        <w:jc w:val="center"/>
      </w:pPr>
      <w:r>
        <w:drawing>
          <wp:inline xmlns:a="http://schemas.openxmlformats.org/drawingml/2006/main" xmlns:pic="http://schemas.openxmlformats.org/drawingml/2006/picture">
            <wp:extent cx="5303520" cy="3013848"/>
            <wp:docPr id="4" name="Picture 4"/>
            <wp:cNvGraphicFramePr>
              <a:graphicFrameLocks noChangeAspect="1"/>
            </wp:cNvGraphicFramePr>
            <a:graphic>
              <a:graphicData uri="http://schemas.openxmlformats.org/drawingml/2006/picture">
                <pic:pic>
                  <pic:nvPicPr>
                    <pic:cNvPr id="0" name="chart_property.png"/>
                    <pic:cNvPicPr/>
                  </pic:nvPicPr>
                  <pic:blipFill>
                    <a:blip r:embed="rId13"/>
                    <a:stretch>
                      <a:fillRect/>
                    </a:stretch>
                  </pic:blipFill>
                  <pic:spPr>
                    <a:xfrm>
                      <a:off x="0" y="0"/>
                      <a:ext cx="5303520" cy="3013848"/>
                    </a:xfrm>
                    <a:prstGeom prst="rect"/>
                  </pic:spPr>
                </pic:pic>
              </a:graphicData>
            </a:graphic>
          </wp:inline>
        </w:drawing>
      </w:r>
    </w:p>
    <w:p>
      <w:pPr>
        <w:jc w:val="center"/>
      </w:pPr>
      <w:r>
        <w:rPr>
          <w:b/>
        </w:rPr>
        <w:t>Figure 4. Approval rate by property area</w:t>
      </w:r>
    </w:p>
    <w:p>
      <w:r>
        <w:t>Interpretation: Semiurban applications show the highest observed approval rate, but this does not establish that location causes approval.</w:t>
      </w:r>
    </w:p>
    <w:p>
      <w:pPr>
        <w:jc w:val="center"/>
      </w:pPr>
      <w:r>
        <w:drawing>
          <wp:inline xmlns:a="http://schemas.openxmlformats.org/drawingml/2006/main" xmlns:pic="http://schemas.openxmlformats.org/drawingml/2006/picture">
            <wp:extent cx="5303520" cy="3004797"/>
            <wp:docPr id="5" name="Picture 5"/>
            <wp:cNvGraphicFramePr>
              <a:graphicFrameLocks noChangeAspect="1"/>
            </wp:cNvGraphicFramePr>
            <a:graphic>
              <a:graphicData uri="http://schemas.openxmlformats.org/drawingml/2006/picture">
                <pic:pic>
                  <pic:nvPicPr>
                    <pic:cNvPr id="0" name="chart_income_band.png"/>
                    <pic:cNvPicPr/>
                  </pic:nvPicPr>
                  <pic:blipFill>
                    <a:blip r:embed="rId14"/>
                    <a:stretch>
                      <a:fillRect/>
                    </a:stretch>
                  </pic:blipFill>
                  <pic:spPr>
                    <a:xfrm>
                      <a:off x="0" y="0"/>
                      <a:ext cx="5303520" cy="3004797"/>
                    </a:xfrm>
                    <a:prstGeom prst="rect"/>
                  </pic:spPr>
                </pic:pic>
              </a:graphicData>
            </a:graphic>
          </wp:inline>
        </w:drawing>
      </w:r>
    </w:p>
    <w:p>
      <w:pPr>
        <w:jc w:val="center"/>
      </w:pPr>
      <w:r>
        <w:rPr>
          <w:b/>
        </w:rPr>
        <w:t>Figure 5. Approval rate by applicant-income quartile</w:t>
      </w:r>
    </w:p>
    <w:p>
      <w:r>
        <w:t>Interpretation: Approval rates vary across income quartiles, but income alone is not a complete affordability or creditworthiness measure.</w:t>
      </w:r>
    </w:p>
    <w:p>
      <w:pPr>
        <w:pStyle w:val="Heading1"/>
      </w:pPr>
      <w:r>
        <w:t>5. Income, Loan Amount, and Repayment Affordability</w:t>
      </w:r>
    </w:p>
    <w:p>
      <w:r>
        <w:t>ApplicantIncome averages 5,403.5 with median 3,812.5; CoapplicantIncome averages 1,621.2; CombinedIncome averages 7,024.7. LoanAmount averages 146.4 and has median 128.0, all in undocumented dataset units.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65D"/>
          </w:tcPr>
          <w:p>
            <w:r>
              <w:rPr>
                <w:b/>
                <w:color w:val="FFFFFF"/>
                <w:sz w:val="15"/>
              </w:rPr>
              <w:t>Outcome</w:t>
            </w:r>
          </w:p>
        </w:tc>
        <w:tc>
          <w:tcPr>
            <w:tcW w:type="dxa" w:w="2541"/>
            <w:shd w:fill="17365D"/>
          </w:tcPr>
          <w:p>
            <w:r>
              <w:rPr>
                <w:b/>
                <w:color w:val="FFFFFF"/>
                <w:sz w:val="15"/>
              </w:rPr>
              <w:t>Valid n</w:t>
            </w:r>
          </w:p>
        </w:tc>
        <w:tc>
          <w:tcPr>
            <w:tcW w:type="dxa" w:w="2541"/>
            <w:shd w:fill="17365D"/>
          </w:tcPr>
          <w:p>
            <w:r>
              <w:rPr>
                <w:b/>
                <w:color w:val="FFFFFF"/>
                <w:sz w:val="15"/>
              </w:rPr>
              <w:t>Average LoanAmount</w:t>
            </w:r>
          </w:p>
        </w:tc>
        <w:tc>
          <w:tcPr>
            <w:tcW w:type="dxa" w:w="2541"/>
            <w:shd w:fill="17365D"/>
          </w:tcPr>
          <w:p>
            <w:r>
              <w:rPr>
                <w:b/>
                <w:color w:val="FFFFFF"/>
                <w:sz w:val="15"/>
              </w:rPr>
              <w:t>Median LoanAmount</w:t>
            </w:r>
          </w:p>
        </w:tc>
      </w:tr>
      <w:tr>
        <w:tc>
          <w:tcPr>
            <w:tcW w:type="dxa" w:w="2541"/>
            <w:vAlign w:val="center"/>
          </w:tcPr>
          <w:p>
            <w:r>
              <w:rPr>
                <w:sz w:val="15"/>
              </w:rPr>
              <w:t>Rejected</w:t>
            </w:r>
          </w:p>
        </w:tc>
        <w:tc>
          <w:tcPr>
            <w:tcW w:type="dxa" w:w="2541"/>
            <w:vAlign w:val="center"/>
          </w:tcPr>
          <w:p>
            <w:r>
              <w:rPr>
                <w:sz w:val="15"/>
              </w:rPr>
              <w:t>181</w:t>
            </w:r>
          </w:p>
        </w:tc>
        <w:tc>
          <w:tcPr>
            <w:tcW w:type="dxa" w:w="2541"/>
            <w:vAlign w:val="center"/>
          </w:tcPr>
          <w:p>
            <w:r>
              <w:rPr>
                <w:sz w:val="15"/>
              </w:rPr>
              <w:t>151.2</w:t>
            </w:r>
          </w:p>
        </w:tc>
        <w:tc>
          <w:tcPr>
            <w:tcW w:type="dxa" w:w="2541"/>
            <w:vAlign w:val="center"/>
          </w:tcPr>
          <w:p>
            <w:r>
              <w:rPr>
                <w:sz w:val="15"/>
              </w:rPr>
              <w:t>129.0</w:t>
            </w:r>
          </w:p>
        </w:tc>
      </w:tr>
      <w:tr>
        <w:tc>
          <w:tcPr>
            <w:tcW w:type="dxa" w:w="2541"/>
            <w:vAlign w:val="center"/>
          </w:tcPr>
          <w:p>
            <w:r>
              <w:rPr>
                <w:sz w:val="15"/>
              </w:rPr>
              <w:t>Approved</w:t>
            </w:r>
          </w:p>
        </w:tc>
        <w:tc>
          <w:tcPr>
            <w:tcW w:type="dxa" w:w="2541"/>
            <w:vAlign w:val="center"/>
          </w:tcPr>
          <w:p>
            <w:r>
              <w:rPr>
                <w:sz w:val="15"/>
              </w:rPr>
              <w:t>411</w:t>
            </w:r>
          </w:p>
        </w:tc>
        <w:tc>
          <w:tcPr>
            <w:tcW w:type="dxa" w:w="2541"/>
            <w:vAlign w:val="center"/>
          </w:tcPr>
          <w:p>
            <w:r>
              <w:rPr>
                <w:sz w:val="15"/>
              </w:rPr>
              <w:t>144.3</w:t>
            </w:r>
          </w:p>
        </w:tc>
        <w:tc>
          <w:tcPr>
            <w:tcW w:type="dxa" w:w="2541"/>
            <w:vAlign w:val="center"/>
          </w:tcPr>
          <w:p>
            <w:r>
              <w:rPr>
                <w:sz w:val="15"/>
              </w:rPr>
              <w:t>126.0</w:t>
            </w:r>
          </w:p>
        </w:tc>
      </w:tr>
    </w:tbl>
    <w:p>
      <w:r>
        <w:t>Outlier screen: using the conventional 1.5 × IQR rule, the upper threshold is 270.0 dataset units and 39 valid LoanAmount observations exceed it. These are review flags, not errors.</w:t>
      </w:r>
    </w:p>
    <w:p>
      <w:r>
        <w:t>Loan-to-income index = LoanAmount ÷ (ApplicantIncome + CoapplicantIncome). It was calculable for 592 records; median 0.0241. Because amount and income units/periods are undocumented, this index is only a relative screening indicator and is not a debt-service ratio.</w:t>
      </w:r>
    </w:p>
    <w:p>
      <w:r>
        <w:t>The workbook lacks interest rates, instalments, living expenses, existing debts and verified repayment histories. Consequently, definitive affordability, debt-service coverage and repayment capacity cannot be assessed.</w:t>
      </w:r>
    </w:p>
    <w:p>
      <w:pPr>
        <w:jc w:val="center"/>
      </w:pPr>
      <w:r>
        <w:drawing>
          <wp:inline xmlns:a="http://schemas.openxmlformats.org/drawingml/2006/main" xmlns:pic="http://schemas.openxmlformats.org/drawingml/2006/picture">
            <wp:extent cx="5303520" cy="3013848"/>
            <wp:docPr id="6" name="Picture 6"/>
            <wp:cNvGraphicFramePr>
              <a:graphicFrameLocks noChangeAspect="1"/>
            </wp:cNvGraphicFramePr>
            <a:graphic>
              <a:graphicData uri="http://schemas.openxmlformats.org/drawingml/2006/picture">
                <pic:pic>
                  <pic:nvPicPr>
                    <pic:cNvPr id="0" name="chart_loan_box.png"/>
                    <pic:cNvPicPr/>
                  </pic:nvPicPr>
                  <pic:blipFill>
                    <a:blip r:embed="rId15"/>
                    <a:stretch>
                      <a:fillRect/>
                    </a:stretch>
                  </pic:blipFill>
                  <pic:spPr>
                    <a:xfrm>
                      <a:off x="0" y="0"/>
                      <a:ext cx="5303520" cy="3013848"/>
                    </a:xfrm>
                    <a:prstGeom prst="rect"/>
                  </pic:spPr>
                </pic:pic>
              </a:graphicData>
            </a:graphic>
          </wp:inline>
        </w:drawing>
      </w:r>
    </w:p>
    <w:p>
      <w:pPr>
        <w:jc w:val="center"/>
      </w:pPr>
      <w:r>
        <w:rPr>
          <w:b/>
        </w:rPr>
        <w:t>Figure 6. Requested loan amount by application outcome</w:t>
      </w:r>
    </w:p>
    <w:p>
      <w:r>
        <w:t>Interpretation: The chart compares distributions and outliers by decision; differences should not be interpreted as causal.</w:t>
      </w:r>
    </w:p>
    <w:p>
      <w:pPr>
        <w:pStyle w:val="Heading1"/>
      </w:pPr>
      <w:r>
        <w:t>6. Credit Risk Assessment</w:t>
      </w:r>
    </w:p>
    <w:p>
      <w:r>
        <w:t>Credit_History has the strongest observed association with Loan_Status. However, rejection is not evidence of default. The dataset contains no defaults, delinquencies, recoveries, exposure at default or loss-given-default observations.</w:t>
      </w:r>
    </w:p>
    <w:p>
      <w:r>
        <w:t>Income and loan-amount groups show differences in approval rates, but they do not capture verified expenses, existing debt, collateral quality or policy exceptions. Missing and potentially shifted values may materially affect underwriting analysis.</w:t>
      </w:r>
    </w:p>
    <w:p>
      <w:r>
        <w:t>Fair-lending principle: gender, marital status, education and similar demographic characteristics are reported only for monitoring. They should not be used to label an individual as risky without a lawful, documented and evidence-based lending framework.</w:t>
      </w:r>
    </w:p>
    <w:p>
      <w:pPr>
        <w:pStyle w:val="Heading1"/>
      </w:pPr>
      <w:r>
        <w:t>7. Financial and Operational Implications</w:t>
      </w:r>
    </w:p>
    <w:p>
      <w:r>
        <w:t>• Introduce mandatory-field and schema controls at application capture.</w:t>
      </w:r>
    </w:p>
    <w:p>
      <w:r>
        <w:t>• Create approval-rate monitoring by credit history, property area and financial bands with sample-size warnings.</w:t>
      </w:r>
    </w:p>
    <w:p>
      <w:r>
        <w:t>• Track processing timestamps and reason codes to identify operational bottlenecks.</w:t>
      </w:r>
    </w:p>
    <w:p>
      <w:r>
        <w:t>• Standardise units, definitions and missing-value conventions for Finance reporting.</w:t>
      </w:r>
    </w:p>
    <w:p>
      <w:r>
        <w:t>• Develop outcome-to-performance linkage once disbursement and repayment data are available.</w:t>
      </w:r>
    </w:p>
    <w:p>
      <w:r>
        <w:t>Lost revenue, profitability, expected credit loss and regulatory capital cannot be estimated. These require, at minimum, pricing, disbursement, exposure, probability of default, loss-given-default, recovery, cost and historical performance data.</w:t>
      </w:r>
    </w:p>
    <w:p>
      <w:pPr>
        <w:pStyle w:val="Heading1"/>
      </w:pPr>
      <w:r>
        <w:t>8. Key Performance Indicators (KPIs)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17365D"/>
          </w:tcPr>
          <w:p>
            <w:r>
              <w:rPr>
                <w:b/>
                <w:color w:val="FFFFFF"/>
                <w:sz w:val="12"/>
              </w:rPr>
              <w:t>KPI</w:t>
            </w:r>
          </w:p>
        </w:tc>
        <w:tc>
          <w:tcPr>
            <w:tcW w:type="dxa" w:w="2033"/>
            <w:shd w:fill="17365D"/>
          </w:tcPr>
          <w:p>
            <w:r>
              <w:rPr>
                <w:b/>
                <w:color w:val="FFFFFF"/>
                <w:sz w:val="12"/>
              </w:rPr>
              <w:t>Definition or Formula</w:t>
            </w:r>
          </w:p>
        </w:tc>
        <w:tc>
          <w:tcPr>
            <w:tcW w:type="dxa" w:w="2033"/>
            <w:shd w:fill="17365D"/>
          </w:tcPr>
          <w:p>
            <w:r>
              <w:rPr>
                <w:b/>
                <w:color w:val="FFFFFF"/>
                <w:sz w:val="12"/>
              </w:rPr>
              <w:t>Calculated Value</w:t>
            </w:r>
          </w:p>
        </w:tc>
        <w:tc>
          <w:tcPr>
            <w:tcW w:type="dxa" w:w="2033"/>
            <w:shd w:fill="17365D"/>
          </w:tcPr>
          <w:p>
            <w:r>
              <w:rPr>
                <w:b/>
                <w:color w:val="FFFFFF"/>
                <w:sz w:val="12"/>
              </w:rPr>
              <w:t>Business Interpretation</w:t>
            </w:r>
          </w:p>
        </w:tc>
        <w:tc>
          <w:tcPr>
            <w:tcW w:type="dxa" w:w="2033"/>
            <w:shd w:fill="17365D"/>
          </w:tcPr>
          <w:p>
            <w:r>
              <w:rPr>
                <w:b/>
                <w:color w:val="FFFFFF"/>
                <w:sz w:val="12"/>
              </w:rPr>
              <w:t>Limitation</w:t>
            </w:r>
          </w:p>
        </w:tc>
      </w:tr>
      <w:tr>
        <w:tc>
          <w:tcPr>
            <w:tcW w:type="dxa" w:w="2033"/>
            <w:vAlign w:val="center"/>
          </w:tcPr>
          <w:p>
            <w:r>
              <w:rPr>
                <w:sz w:val="12"/>
              </w:rPr>
              <w:t>Total applications</w:t>
            </w:r>
          </w:p>
        </w:tc>
        <w:tc>
          <w:tcPr>
            <w:tcW w:type="dxa" w:w="2033"/>
            <w:vAlign w:val="center"/>
          </w:tcPr>
          <w:p>
            <w:r>
              <w:rPr>
                <w:sz w:val="12"/>
              </w:rPr>
              <w:t>Count of rows</w:t>
            </w:r>
          </w:p>
        </w:tc>
        <w:tc>
          <w:tcPr>
            <w:tcW w:type="dxa" w:w="2033"/>
            <w:vAlign w:val="center"/>
          </w:tcPr>
          <w:p>
            <w:r>
              <w:rPr>
                <w:sz w:val="12"/>
              </w:rPr>
              <w:t>614</w:t>
            </w:r>
          </w:p>
        </w:tc>
        <w:tc>
          <w:tcPr>
            <w:tcW w:type="dxa" w:w="2033"/>
            <w:vAlign w:val="center"/>
          </w:tcPr>
          <w:p>
            <w:r>
              <w:rPr>
                <w:sz w:val="12"/>
              </w:rPr>
              <w:t>Application workload represented</w:t>
            </w:r>
          </w:p>
        </w:tc>
        <w:tc>
          <w:tcPr>
            <w:tcW w:type="dxa" w:w="2033"/>
            <w:vAlign w:val="center"/>
          </w:tcPr>
          <w:p>
            <w:r>
              <w:rPr>
                <w:sz w:val="12"/>
              </w:rPr>
              <w:t>Not unique customers</w:t>
            </w:r>
          </w:p>
        </w:tc>
      </w:tr>
      <w:tr>
        <w:tc>
          <w:tcPr>
            <w:tcW w:type="dxa" w:w="2033"/>
            <w:vAlign w:val="center"/>
          </w:tcPr>
          <w:p>
            <w:r>
              <w:rPr>
                <w:sz w:val="12"/>
              </w:rPr>
              <w:t>Approval rate</w:t>
            </w:r>
          </w:p>
        </w:tc>
        <w:tc>
          <w:tcPr>
            <w:tcW w:type="dxa" w:w="2033"/>
            <w:vAlign w:val="center"/>
          </w:tcPr>
          <w:p>
            <w:r>
              <w:rPr>
                <w:sz w:val="12"/>
              </w:rPr>
              <w:t>Approved ÷ all applications</w:t>
            </w:r>
          </w:p>
        </w:tc>
        <w:tc>
          <w:tcPr>
            <w:tcW w:type="dxa" w:w="2033"/>
            <w:vAlign w:val="center"/>
          </w:tcPr>
          <w:p>
            <w:r>
              <w:rPr>
                <w:sz w:val="12"/>
              </w:rPr>
              <w:t>68.7%</w:t>
            </w:r>
          </w:p>
        </w:tc>
        <w:tc>
          <w:tcPr>
            <w:tcW w:type="dxa" w:w="2033"/>
            <w:vAlign w:val="center"/>
          </w:tcPr>
          <w:p>
            <w:r>
              <w:rPr>
                <w:sz w:val="12"/>
              </w:rPr>
              <w:t>Decision conversion indicator</w:t>
            </w:r>
          </w:p>
        </w:tc>
        <w:tc>
          <w:tcPr>
            <w:tcW w:type="dxa" w:w="2033"/>
            <w:vAlign w:val="center"/>
          </w:tcPr>
          <w:p>
            <w:r>
              <w:rPr>
                <w:sz w:val="12"/>
              </w:rPr>
              <w:t>Not disbursement rate</w:t>
            </w:r>
          </w:p>
        </w:tc>
      </w:tr>
      <w:tr>
        <w:tc>
          <w:tcPr>
            <w:tcW w:type="dxa" w:w="2033"/>
            <w:vAlign w:val="center"/>
          </w:tcPr>
          <w:p>
            <w:r>
              <w:rPr>
                <w:sz w:val="12"/>
              </w:rPr>
              <w:t>Rejection rate</w:t>
            </w:r>
          </w:p>
        </w:tc>
        <w:tc>
          <w:tcPr>
            <w:tcW w:type="dxa" w:w="2033"/>
            <w:vAlign w:val="center"/>
          </w:tcPr>
          <w:p>
            <w:r>
              <w:rPr>
                <w:sz w:val="12"/>
              </w:rPr>
              <w:t>Rejected ÷ all applications</w:t>
            </w:r>
          </w:p>
        </w:tc>
        <w:tc>
          <w:tcPr>
            <w:tcW w:type="dxa" w:w="2033"/>
            <w:vAlign w:val="center"/>
          </w:tcPr>
          <w:p>
            <w:r>
              <w:rPr>
                <w:sz w:val="12"/>
              </w:rPr>
              <w:t>31.3%</w:t>
            </w:r>
          </w:p>
        </w:tc>
        <w:tc>
          <w:tcPr>
            <w:tcW w:type="dxa" w:w="2033"/>
            <w:vAlign w:val="center"/>
          </w:tcPr>
          <w:p>
            <w:r>
              <w:rPr>
                <w:sz w:val="12"/>
              </w:rPr>
              <w:t>Non-approval share</w:t>
            </w:r>
          </w:p>
        </w:tc>
        <w:tc>
          <w:tcPr>
            <w:tcW w:type="dxa" w:w="2033"/>
            <w:vAlign w:val="center"/>
          </w:tcPr>
          <w:p>
            <w:r>
              <w:rPr>
                <w:sz w:val="12"/>
              </w:rPr>
              <w:t>Not default rate</w:t>
            </w:r>
          </w:p>
        </w:tc>
      </w:tr>
      <w:tr>
        <w:tc>
          <w:tcPr>
            <w:tcW w:type="dxa" w:w="2033"/>
            <w:vAlign w:val="center"/>
          </w:tcPr>
          <w:p>
            <w:r>
              <w:rPr>
                <w:sz w:val="12"/>
              </w:rPr>
              <w:t>Dataset missing-cell rate</w:t>
            </w:r>
          </w:p>
        </w:tc>
        <w:tc>
          <w:tcPr>
            <w:tcW w:type="dxa" w:w="2033"/>
            <w:vAlign w:val="center"/>
          </w:tcPr>
          <w:p>
            <w:r>
              <w:rPr>
                <w:sz w:val="12"/>
              </w:rPr>
              <w:t>Missing cells ÷ cells in original 14 fields</w:t>
            </w:r>
          </w:p>
        </w:tc>
        <w:tc>
          <w:tcPr>
            <w:tcW w:type="dxa" w:w="2033"/>
            <w:vAlign w:val="center"/>
          </w:tcPr>
          <w:p>
            <w:r>
              <w:rPr>
                <w:sz w:val="12"/>
              </w:rPr>
              <w:t>1.7%</w:t>
            </w:r>
          </w:p>
        </w:tc>
        <w:tc>
          <w:tcPr>
            <w:tcW w:type="dxa" w:w="2033"/>
            <w:vAlign w:val="center"/>
          </w:tcPr>
          <w:p>
            <w:r>
              <w:rPr>
                <w:sz w:val="12"/>
              </w:rPr>
              <w:t>Overall completeness signal</w:t>
            </w:r>
          </w:p>
        </w:tc>
        <w:tc>
          <w:tcPr>
            <w:tcW w:type="dxa" w:w="2033"/>
            <w:vAlign w:val="center"/>
          </w:tcPr>
          <w:p>
            <w:r>
              <w:rPr>
                <w:sz w:val="12"/>
              </w:rPr>
              <w:t>Can mask field-level concentration</w:t>
            </w:r>
          </w:p>
        </w:tc>
      </w:tr>
      <w:tr>
        <w:tc>
          <w:tcPr>
            <w:tcW w:type="dxa" w:w="2033"/>
            <w:vAlign w:val="center"/>
          </w:tcPr>
          <w:p>
            <w:r>
              <w:rPr>
                <w:sz w:val="12"/>
              </w:rPr>
              <w:t>Average applicant income</w:t>
            </w:r>
          </w:p>
        </w:tc>
        <w:tc>
          <w:tcPr>
            <w:tcW w:type="dxa" w:w="2033"/>
            <w:vAlign w:val="center"/>
          </w:tcPr>
          <w:p>
            <w:r>
              <w:rPr>
                <w:sz w:val="12"/>
              </w:rPr>
              <w:t>Mean ApplicantIncome</w:t>
            </w:r>
          </w:p>
        </w:tc>
        <w:tc>
          <w:tcPr>
            <w:tcW w:type="dxa" w:w="2033"/>
            <w:vAlign w:val="center"/>
          </w:tcPr>
          <w:p>
            <w:r>
              <w:rPr>
                <w:sz w:val="12"/>
              </w:rPr>
              <w:t>5,403.5</w:t>
            </w:r>
          </w:p>
        </w:tc>
        <w:tc>
          <w:tcPr>
            <w:tcW w:type="dxa" w:w="2033"/>
            <w:vAlign w:val="center"/>
          </w:tcPr>
          <w:p>
            <w:r>
              <w:rPr>
                <w:sz w:val="12"/>
              </w:rPr>
              <w:t>Reported applicant financial profile</w:t>
            </w:r>
          </w:p>
        </w:tc>
        <w:tc>
          <w:tcPr>
            <w:tcW w:type="dxa" w:w="2033"/>
            <w:vAlign w:val="center"/>
          </w:tcPr>
          <w:p>
            <w:r>
              <w:rPr>
                <w:sz w:val="12"/>
              </w:rPr>
              <w:t>Unit/period undocumented</w:t>
            </w:r>
          </w:p>
        </w:tc>
      </w:tr>
      <w:tr>
        <w:tc>
          <w:tcPr>
            <w:tcW w:type="dxa" w:w="2033"/>
            <w:vAlign w:val="center"/>
          </w:tcPr>
          <w:p>
            <w:r>
              <w:rPr>
                <w:sz w:val="12"/>
              </w:rPr>
              <w:t>Average combined income</w:t>
            </w:r>
          </w:p>
        </w:tc>
        <w:tc>
          <w:tcPr>
            <w:tcW w:type="dxa" w:w="2033"/>
            <w:vAlign w:val="center"/>
          </w:tcPr>
          <w:p>
            <w:r>
              <w:rPr>
                <w:sz w:val="12"/>
              </w:rPr>
              <w:t>Mean (Applicant + Coapplicant)</w:t>
            </w:r>
          </w:p>
        </w:tc>
        <w:tc>
          <w:tcPr>
            <w:tcW w:type="dxa" w:w="2033"/>
            <w:vAlign w:val="center"/>
          </w:tcPr>
          <w:p>
            <w:r>
              <w:rPr>
                <w:sz w:val="12"/>
              </w:rPr>
              <w:t>7,024.7</w:t>
            </w:r>
          </w:p>
        </w:tc>
        <w:tc>
          <w:tcPr>
            <w:tcW w:type="dxa" w:w="2033"/>
            <w:vAlign w:val="center"/>
          </w:tcPr>
          <w:p>
            <w:r>
              <w:rPr>
                <w:sz w:val="12"/>
              </w:rPr>
              <w:t>Household-income proxy</w:t>
            </w:r>
          </w:p>
        </w:tc>
        <w:tc>
          <w:tcPr>
            <w:tcW w:type="dxa" w:w="2033"/>
            <w:vAlign w:val="center"/>
          </w:tcPr>
          <w:p>
            <w:r>
              <w:rPr>
                <w:sz w:val="12"/>
              </w:rPr>
              <w:t>Reported, not verified</w:t>
            </w:r>
          </w:p>
        </w:tc>
      </w:tr>
      <w:tr>
        <w:tc>
          <w:tcPr>
            <w:tcW w:type="dxa" w:w="2033"/>
            <w:vAlign w:val="center"/>
          </w:tcPr>
          <w:p>
            <w:r>
              <w:rPr>
                <w:sz w:val="12"/>
              </w:rPr>
              <w:t>Average requested loan amount</w:t>
            </w:r>
          </w:p>
        </w:tc>
        <w:tc>
          <w:tcPr>
            <w:tcW w:type="dxa" w:w="2033"/>
            <w:vAlign w:val="center"/>
          </w:tcPr>
          <w:p>
            <w:r>
              <w:rPr>
                <w:sz w:val="12"/>
              </w:rPr>
              <w:t>Mean LoanAmount</w:t>
            </w:r>
          </w:p>
        </w:tc>
        <w:tc>
          <w:tcPr>
            <w:tcW w:type="dxa" w:w="2033"/>
            <w:vAlign w:val="center"/>
          </w:tcPr>
          <w:p>
            <w:r>
              <w:rPr>
                <w:sz w:val="12"/>
              </w:rPr>
              <w:t>146.4</w:t>
            </w:r>
          </w:p>
        </w:tc>
        <w:tc>
          <w:tcPr>
            <w:tcW w:type="dxa" w:w="2033"/>
            <w:vAlign w:val="center"/>
          </w:tcPr>
          <w:p>
            <w:r>
              <w:rPr>
                <w:sz w:val="12"/>
              </w:rPr>
              <w:t>Average request size</w:t>
            </w:r>
          </w:p>
        </w:tc>
        <w:tc>
          <w:tcPr>
            <w:tcW w:type="dxa" w:w="2033"/>
            <w:vAlign w:val="center"/>
          </w:tcPr>
          <w:p>
            <w:r>
              <w:rPr>
                <w:sz w:val="12"/>
              </w:rPr>
              <w:t>Unit undocumented</w:t>
            </w:r>
          </w:p>
        </w:tc>
      </w:tr>
      <w:tr>
        <w:tc>
          <w:tcPr>
            <w:tcW w:type="dxa" w:w="2033"/>
            <w:vAlign w:val="center"/>
          </w:tcPr>
          <w:p>
            <w:r>
              <w:rPr>
                <w:sz w:val="12"/>
              </w:rPr>
              <w:t>Median requested loan amount</w:t>
            </w:r>
          </w:p>
        </w:tc>
        <w:tc>
          <w:tcPr>
            <w:tcW w:type="dxa" w:w="2033"/>
            <w:vAlign w:val="center"/>
          </w:tcPr>
          <w:p>
            <w:r>
              <w:rPr>
                <w:sz w:val="12"/>
              </w:rPr>
              <w:t>Median LoanAmount</w:t>
            </w:r>
          </w:p>
        </w:tc>
        <w:tc>
          <w:tcPr>
            <w:tcW w:type="dxa" w:w="2033"/>
            <w:vAlign w:val="center"/>
          </w:tcPr>
          <w:p>
            <w:r>
              <w:rPr>
                <w:sz w:val="12"/>
              </w:rPr>
              <w:t>128.0</w:t>
            </w:r>
          </w:p>
        </w:tc>
        <w:tc>
          <w:tcPr>
            <w:tcW w:type="dxa" w:w="2033"/>
            <w:vAlign w:val="center"/>
          </w:tcPr>
          <w:p>
            <w:r>
              <w:rPr>
                <w:sz w:val="12"/>
              </w:rPr>
              <w:t>Typical request less affected by extremes</w:t>
            </w:r>
          </w:p>
        </w:tc>
        <w:tc>
          <w:tcPr>
            <w:tcW w:type="dxa" w:w="2033"/>
            <w:vAlign w:val="center"/>
          </w:tcPr>
          <w:p>
            <w:r>
              <w:rPr>
                <w:sz w:val="12"/>
              </w:rPr>
              <w:t>Missing values excluded</w:t>
            </w:r>
          </w:p>
        </w:tc>
      </w:tr>
      <w:tr>
        <w:tc>
          <w:tcPr>
            <w:tcW w:type="dxa" w:w="2033"/>
            <w:vAlign w:val="center"/>
          </w:tcPr>
          <w:p>
            <w:r>
              <w:rPr>
                <w:sz w:val="12"/>
              </w:rPr>
              <w:t>Average loan amount – Rejected</w:t>
            </w:r>
          </w:p>
        </w:tc>
        <w:tc>
          <w:tcPr>
            <w:tcW w:type="dxa" w:w="2033"/>
            <w:vAlign w:val="center"/>
          </w:tcPr>
          <w:p>
            <w:r>
              <w:rPr>
                <w:sz w:val="12"/>
              </w:rPr>
              <w:t>Mean LoanAmount for outcome</w:t>
            </w:r>
          </w:p>
        </w:tc>
        <w:tc>
          <w:tcPr>
            <w:tcW w:type="dxa" w:w="2033"/>
            <w:vAlign w:val="center"/>
          </w:tcPr>
          <w:p>
            <w:r>
              <w:rPr>
                <w:sz w:val="12"/>
              </w:rPr>
              <w:t>151.2</w:t>
            </w:r>
          </w:p>
        </w:tc>
        <w:tc>
          <w:tcPr>
            <w:tcW w:type="dxa" w:w="2033"/>
            <w:vAlign w:val="center"/>
          </w:tcPr>
          <w:p>
            <w:r>
              <w:rPr>
                <w:sz w:val="12"/>
              </w:rPr>
              <w:t>Requested size by decision</w:t>
            </w:r>
          </w:p>
        </w:tc>
        <w:tc>
          <w:tcPr>
            <w:tcW w:type="dxa" w:w="2033"/>
            <w:vAlign w:val="center"/>
          </w:tcPr>
          <w:p>
            <w:r>
              <w:rPr>
                <w:sz w:val="12"/>
              </w:rPr>
              <w:t>No causal conclusion</w:t>
            </w:r>
          </w:p>
        </w:tc>
      </w:tr>
      <w:tr>
        <w:tc>
          <w:tcPr>
            <w:tcW w:type="dxa" w:w="2033"/>
            <w:vAlign w:val="center"/>
          </w:tcPr>
          <w:p>
            <w:r>
              <w:rPr>
                <w:sz w:val="12"/>
              </w:rPr>
              <w:t>Average loan amount – Approved</w:t>
            </w:r>
          </w:p>
        </w:tc>
        <w:tc>
          <w:tcPr>
            <w:tcW w:type="dxa" w:w="2033"/>
            <w:vAlign w:val="center"/>
          </w:tcPr>
          <w:p>
            <w:r>
              <w:rPr>
                <w:sz w:val="12"/>
              </w:rPr>
              <w:t>Mean LoanAmount for outcome</w:t>
            </w:r>
          </w:p>
        </w:tc>
        <w:tc>
          <w:tcPr>
            <w:tcW w:type="dxa" w:w="2033"/>
            <w:vAlign w:val="center"/>
          </w:tcPr>
          <w:p>
            <w:r>
              <w:rPr>
                <w:sz w:val="12"/>
              </w:rPr>
              <w:t>144.3</w:t>
            </w:r>
          </w:p>
        </w:tc>
        <w:tc>
          <w:tcPr>
            <w:tcW w:type="dxa" w:w="2033"/>
            <w:vAlign w:val="center"/>
          </w:tcPr>
          <w:p>
            <w:r>
              <w:rPr>
                <w:sz w:val="12"/>
              </w:rPr>
              <w:t>Requested size by decision</w:t>
            </w:r>
          </w:p>
        </w:tc>
        <w:tc>
          <w:tcPr>
            <w:tcW w:type="dxa" w:w="2033"/>
            <w:vAlign w:val="center"/>
          </w:tcPr>
          <w:p>
            <w:r>
              <w:rPr>
                <w:sz w:val="12"/>
              </w:rPr>
              <w:t>No causal conclusion</w:t>
            </w:r>
          </w:p>
        </w:tc>
      </w:tr>
      <w:tr>
        <w:tc>
          <w:tcPr>
            <w:tcW w:type="dxa" w:w="2033"/>
            <w:vAlign w:val="center"/>
          </w:tcPr>
          <w:p>
            <w:r>
              <w:rPr>
                <w:sz w:val="12"/>
              </w:rPr>
              <w:t>Approval rate – Credit_History 0.0</w:t>
            </w:r>
          </w:p>
        </w:tc>
        <w:tc>
          <w:tcPr>
            <w:tcW w:type="dxa" w:w="2033"/>
            <w:vAlign w:val="center"/>
          </w:tcPr>
          <w:p>
            <w:r>
              <w:rPr>
                <w:sz w:val="12"/>
              </w:rPr>
              <w:t>Approved ÷ group applications</w:t>
            </w:r>
          </w:p>
        </w:tc>
        <w:tc>
          <w:tcPr>
            <w:tcW w:type="dxa" w:w="2033"/>
            <w:vAlign w:val="center"/>
          </w:tcPr>
          <w:p>
            <w:r>
              <w:rPr>
                <w:sz w:val="12"/>
              </w:rPr>
              <w:t>7.9%</w:t>
            </w:r>
          </w:p>
        </w:tc>
        <w:tc>
          <w:tcPr>
            <w:tcW w:type="dxa" w:w="2033"/>
            <w:vAlign w:val="center"/>
          </w:tcPr>
          <w:p>
            <w:r>
              <w:rPr>
                <w:sz w:val="12"/>
              </w:rPr>
              <w:t>Credit-history outcome monitoring</w:t>
            </w:r>
          </w:p>
        </w:tc>
        <w:tc>
          <w:tcPr>
            <w:tcW w:type="dxa" w:w="2033"/>
            <w:vAlign w:val="center"/>
          </w:tcPr>
          <w:p>
            <w:r>
              <w:rPr>
                <w:sz w:val="12"/>
              </w:rPr>
              <w:t>n=89</w:t>
            </w:r>
          </w:p>
        </w:tc>
      </w:tr>
      <w:tr>
        <w:tc>
          <w:tcPr>
            <w:tcW w:type="dxa" w:w="2033"/>
            <w:vAlign w:val="center"/>
          </w:tcPr>
          <w:p>
            <w:r>
              <w:rPr>
                <w:sz w:val="12"/>
              </w:rPr>
              <w:t>Approval rate – Credit_History 1.0</w:t>
            </w:r>
          </w:p>
        </w:tc>
        <w:tc>
          <w:tcPr>
            <w:tcW w:type="dxa" w:w="2033"/>
            <w:vAlign w:val="center"/>
          </w:tcPr>
          <w:p>
            <w:r>
              <w:rPr>
                <w:sz w:val="12"/>
              </w:rPr>
              <w:t>Approved ÷ group applications</w:t>
            </w:r>
          </w:p>
        </w:tc>
        <w:tc>
          <w:tcPr>
            <w:tcW w:type="dxa" w:w="2033"/>
            <w:vAlign w:val="center"/>
          </w:tcPr>
          <w:p>
            <w:r>
              <w:rPr>
                <w:sz w:val="12"/>
              </w:rPr>
              <w:t>79.6%</w:t>
            </w:r>
          </w:p>
        </w:tc>
        <w:tc>
          <w:tcPr>
            <w:tcW w:type="dxa" w:w="2033"/>
            <w:vAlign w:val="center"/>
          </w:tcPr>
          <w:p>
            <w:r>
              <w:rPr>
                <w:sz w:val="12"/>
              </w:rPr>
              <w:t>Credit-history outcome monitoring</w:t>
            </w:r>
          </w:p>
        </w:tc>
        <w:tc>
          <w:tcPr>
            <w:tcW w:type="dxa" w:w="2033"/>
            <w:vAlign w:val="center"/>
          </w:tcPr>
          <w:p>
            <w:r>
              <w:rPr>
                <w:sz w:val="12"/>
              </w:rPr>
              <w:t>n=475</w:t>
            </w:r>
          </w:p>
        </w:tc>
      </w:tr>
      <w:tr>
        <w:tc>
          <w:tcPr>
            <w:tcW w:type="dxa" w:w="2033"/>
            <w:vAlign w:val="center"/>
          </w:tcPr>
          <w:p>
            <w:r>
              <w:rPr>
                <w:sz w:val="12"/>
              </w:rPr>
              <w:t>Approval rate – Credit_History Missing</w:t>
            </w:r>
          </w:p>
        </w:tc>
        <w:tc>
          <w:tcPr>
            <w:tcW w:type="dxa" w:w="2033"/>
            <w:vAlign w:val="center"/>
          </w:tcPr>
          <w:p>
            <w:r>
              <w:rPr>
                <w:sz w:val="12"/>
              </w:rPr>
              <w:t>Approved ÷ group applications</w:t>
            </w:r>
          </w:p>
        </w:tc>
        <w:tc>
          <w:tcPr>
            <w:tcW w:type="dxa" w:w="2033"/>
            <w:vAlign w:val="center"/>
          </w:tcPr>
          <w:p>
            <w:r>
              <w:rPr>
                <w:sz w:val="12"/>
              </w:rPr>
              <w:t>74.0%</w:t>
            </w:r>
          </w:p>
        </w:tc>
        <w:tc>
          <w:tcPr>
            <w:tcW w:type="dxa" w:w="2033"/>
            <w:vAlign w:val="center"/>
          </w:tcPr>
          <w:p>
            <w:r>
              <w:rPr>
                <w:sz w:val="12"/>
              </w:rPr>
              <w:t>Credit-history outcome monitoring</w:t>
            </w:r>
          </w:p>
        </w:tc>
        <w:tc>
          <w:tcPr>
            <w:tcW w:type="dxa" w:w="2033"/>
            <w:vAlign w:val="center"/>
          </w:tcPr>
          <w:p>
            <w:r>
              <w:rPr>
                <w:sz w:val="12"/>
              </w:rPr>
              <w:t>n=50</w:t>
            </w:r>
          </w:p>
        </w:tc>
      </w:tr>
      <w:tr>
        <w:tc>
          <w:tcPr>
            <w:tcW w:type="dxa" w:w="2033"/>
            <w:vAlign w:val="center"/>
          </w:tcPr>
          <w:p>
            <w:r>
              <w:rPr>
                <w:sz w:val="12"/>
              </w:rPr>
              <w:t>Approval rate – Rural</w:t>
            </w:r>
          </w:p>
        </w:tc>
        <w:tc>
          <w:tcPr>
            <w:tcW w:type="dxa" w:w="2033"/>
            <w:vAlign w:val="center"/>
          </w:tcPr>
          <w:p>
            <w:r>
              <w:rPr>
                <w:sz w:val="12"/>
              </w:rPr>
              <w:t>Approved ÷ area applications</w:t>
            </w:r>
          </w:p>
        </w:tc>
        <w:tc>
          <w:tcPr>
            <w:tcW w:type="dxa" w:w="2033"/>
            <w:vAlign w:val="center"/>
          </w:tcPr>
          <w:p>
            <w:r>
              <w:rPr>
                <w:sz w:val="12"/>
              </w:rPr>
              <w:t>61.5%</w:t>
            </w:r>
          </w:p>
        </w:tc>
        <w:tc>
          <w:tcPr>
            <w:tcW w:type="dxa" w:w="2033"/>
            <w:vAlign w:val="center"/>
          </w:tcPr>
          <w:p>
            <w:r>
              <w:rPr>
                <w:sz w:val="12"/>
              </w:rPr>
              <w:t>Geographic outcome monitoring</w:t>
            </w:r>
          </w:p>
        </w:tc>
        <w:tc>
          <w:tcPr>
            <w:tcW w:type="dxa" w:w="2033"/>
            <w:vAlign w:val="center"/>
          </w:tcPr>
          <w:p>
            <w:r>
              <w:rPr>
                <w:sz w:val="12"/>
              </w:rPr>
              <w:t>n=179; association only</w:t>
            </w:r>
          </w:p>
        </w:tc>
      </w:tr>
      <w:tr>
        <w:tc>
          <w:tcPr>
            <w:tcW w:type="dxa" w:w="2033"/>
            <w:vAlign w:val="center"/>
          </w:tcPr>
          <w:p>
            <w:r>
              <w:rPr>
                <w:sz w:val="12"/>
              </w:rPr>
              <w:t>Approval rate – Semiurban</w:t>
            </w:r>
          </w:p>
        </w:tc>
        <w:tc>
          <w:tcPr>
            <w:tcW w:type="dxa" w:w="2033"/>
            <w:vAlign w:val="center"/>
          </w:tcPr>
          <w:p>
            <w:r>
              <w:rPr>
                <w:sz w:val="12"/>
              </w:rPr>
              <w:t>Approved ÷ area applications</w:t>
            </w:r>
          </w:p>
        </w:tc>
        <w:tc>
          <w:tcPr>
            <w:tcW w:type="dxa" w:w="2033"/>
            <w:vAlign w:val="center"/>
          </w:tcPr>
          <w:p>
            <w:r>
              <w:rPr>
                <w:sz w:val="12"/>
              </w:rPr>
              <w:t>76.8%</w:t>
            </w:r>
          </w:p>
        </w:tc>
        <w:tc>
          <w:tcPr>
            <w:tcW w:type="dxa" w:w="2033"/>
            <w:vAlign w:val="center"/>
          </w:tcPr>
          <w:p>
            <w:r>
              <w:rPr>
                <w:sz w:val="12"/>
              </w:rPr>
              <w:t>Geographic outcome monitoring</w:t>
            </w:r>
          </w:p>
        </w:tc>
        <w:tc>
          <w:tcPr>
            <w:tcW w:type="dxa" w:w="2033"/>
            <w:vAlign w:val="center"/>
          </w:tcPr>
          <w:p>
            <w:r>
              <w:rPr>
                <w:sz w:val="12"/>
              </w:rPr>
              <w:t>n=233; association only</w:t>
            </w:r>
          </w:p>
        </w:tc>
      </w:tr>
      <w:tr>
        <w:tc>
          <w:tcPr>
            <w:tcW w:type="dxa" w:w="2033"/>
            <w:vAlign w:val="center"/>
          </w:tcPr>
          <w:p>
            <w:r>
              <w:rPr>
                <w:sz w:val="12"/>
              </w:rPr>
              <w:t>Approval rate – Urban</w:t>
            </w:r>
          </w:p>
        </w:tc>
        <w:tc>
          <w:tcPr>
            <w:tcW w:type="dxa" w:w="2033"/>
            <w:vAlign w:val="center"/>
          </w:tcPr>
          <w:p>
            <w:r>
              <w:rPr>
                <w:sz w:val="12"/>
              </w:rPr>
              <w:t>Approved ÷ area applications</w:t>
            </w:r>
          </w:p>
        </w:tc>
        <w:tc>
          <w:tcPr>
            <w:tcW w:type="dxa" w:w="2033"/>
            <w:vAlign w:val="center"/>
          </w:tcPr>
          <w:p>
            <w:r>
              <w:rPr>
                <w:sz w:val="12"/>
              </w:rPr>
              <w:t>65.8%</w:t>
            </w:r>
          </w:p>
        </w:tc>
        <w:tc>
          <w:tcPr>
            <w:tcW w:type="dxa" w:w="2033"/>
            <w:vAlign w:val="center"/>
          </w:tcPr>
          <w:p>
            <w:r>
              <w:rPr>
                <w:sz w:val="12"/>
              </w:rPr>
              <w:t>Geographic outcome monitoring</w:t>
            </w:r>
          </w:p>
        </w:tc>
        <w:tc>
          <w:tcPr>
            <w:tcW w:type="dxa" w:w="2033"/>
            <w:vAlign w:val="center"/>
          </w:tcPr>
          <w:p>
            <w:r>
              <w:rPr>
                <w:sz w:val="12"/>
              </w:rPr>
              <w:t>n=202; association only</w:t>
            </w:r>
          </w:p>
        </w:tc>
      </w:tr>
    </w:tbl>
    <w:p>
      <w:pPr>
        <w:pStyle w:val="Heading1"/>
      </w:pPr>
      <w:r>
        <w:t>9. Management Recommendations and Action Plan</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17365D"/>
          </w:tcPr>
          <w:p>
            <w:r>
              <w:rPr>
                <w:b/>
                <w:color w:val="FFFFFF"/>
                <w:sz w:val="12"/>
              </w:rPr>
              <w:t>Priority</w:t>
            </w:r>
          </w:p>
        </w:tc>
        <w:tc>
          <w:tcPr>
            <w:tcW w:type="dxa" w:w="1694"/>
            <w:shd w:fill="17365D"/>
          </w:tcPr>
          <w:p>
            <w:r>
              <w:rPr>
                <w:b/>
                <w:color w:val="FFFFFF"/>
                <w:sz w:val="12"/>
              </w:rPr>
              <w:t>Recommended action</w:t>
            </w:r>
          </w:p>
        </w:tc>
        <w:tc>
          <w:tcPr>
            <w:tcW w:type="dxa" w:w="1694"/>
            <w:shd w:fill="17365D"/>
          </w:tcPr>
          <w:p>
            <w:r>
              <w:rPr>
                <w:b/>
                <w:color w:val="FFFFFF"/>
                <w:sz w:val="12"/>
              </w:rPr>
              <w:t>Business justification</w:t>
            </w:r>
          </w:p>
        </w:tc>
        <w:tc>
          <w:tcPr>
            <w:tcW w:type="dxa" w:w="1694"/>
            <w:shd w:fill="17365D"/>
          </w:tcPr>
          <w:p>
            <w:r>
              <w:rPr>
                <w:b/>
                <w:color w:val="FFFFFF"/>
                <w:sz w:val="12"/>
              </w:rPr>
              <w:t>Responsible role</w:t>
            </w:r>
          </w:p>
        </w:tc>
        <w:tc>
          <w:tcPr>
            <w:tcW w:type="dxa" w:w="1694"/>
            <w:shd w:fill="17365D"/>
          </w:tcPr>
          <w:p>
            <w:r>
              <w:rPr>
                <w:b/>
                <w:color w:val="FFFFFF"/>
                <w:sz w:val="12"/>
              </w:rPr>
              <w:t>Timeframe</w:t>
            </w:r>
          </w:p>
        </w:tc>
        <w:tc>
          <w:tcPr>
            <w:tcW w:type="dxa" w:w="1694"/>
            <w:shd w:fill="17365D"/>
          </w:tcPr>
          <w:p>
            <w:r>
              <w:rPr>
                <w:b/>
                <w:color w:val="FFFFFF"/>
                <w:sz w:val="12"/>
              </w:rPr>
              <w:t>Success indicator</w:t>
            </w:r>
          </w:p>
        </w:tc>
      </w:tr>
      <w:tr>
        <w:tc>
          <w:tcPr>
            <w:tcW w:type="dxa" w:w="1694"/>
            <w:vAlign w:val="center"/>
          </w:tcPr>
          <w:p>
            <w:r>
              <w:rPr>
                <w:sz w:val="12"/>
              </w:rPr>
              <w:t>High</w:t>
            </w:r>
          </w:p>
        </w:tc>
        <w:tc>
          <w:tcPr>
            <w:tcW w:type="dxa" w:w="1694"/>
            <w:vAlign w:val="center"/>
          </w:tcPr>
          <w:p>
            <w:r>
              <w:rPr>
                <w:sz w:val="12"/>
              </w:rPr>
              <w:t>Reconcile incomplete/shifted records and enforce schema validation</w:t>
            </w:r>
          </w:p>
        </w:tc>
        <w:tc>
          <w:tcPr>
            <w:tcW w:type="dxa" w:w="1694"/>
            <w:vAlign w:val="center"/>
          </w:tcPr>
          <w:p>
            <w:r>
              <w:rPr>
                <w:sz w:val="12"/>
              </w:rPr>
              <w:t>Observed blanks and positional inconsistencies can distort metrics</w:t>
            </w:r>
          </w:p>
        </w:tc>
        <w:tc>
          <w:tcPr>
            <w:tcW w:type="dxa" w:w="1694"/>
            <w:vAlign w:val="center"/>
          </w:tcPr>
          <w:p>
            <w:r>
              <w:rPr>
                <w:sz w:val="12"/>
              </w:rPr>
              <w:t>Loan Operations + Data Management</w:t>
            </w:r>
          </w:p>
        </w:tc>
        <w:tc>
          <w:tcPr>
            <w:tcW w:type="dxa" w:w="1694"/>
            <w:vAlign w:val="center"/>
          </w:tcPr>
          <w:p>
            <w:r>
              <w:rPr>
                <w:sz w:val="12"/>
              </w:rPr>
              <w:t>0–30 days</w:t>
            </w:r>
          </w:p>
        </w:tc>
        <w:tc>
          <w:tcPr>
            <w:tcW w:type="dxa" w:w="1694"/>
            <w:vAlign w:val="center"/>
          </w:tcPr>
          <w:p>
            <w:r>
              <w:rPr>
                <w:sz w:val="12"/>
              </w:rPr>
              <w:t>≥99% mandatory-field completeness</w:t>
            </w:r>
          </w:p>
        </w:tc>
      </w:tr>
      <w:tr>
        <w:tc>
          <w:tcPr>
            <w:tcW w:type="dxa" w:w="1694"/>
            <w:vAlign w:val="center"/>
          </w:tcPr>
          <w:p>
            <w:r>
              <w:rPr>
                <w:sz w:val="12"/>
              </w:rPr>
              <w:t>High</w:t>
            </w:r>
          </w:p>
        </w:tc>
        <w:tc>
          <w:tcPr>
            <w:tcW w:type="dxa" w:w="1694"/>
            <w:vAlign w:val="center"/>
          </w:tcPr>
          <w:p>
            <w:r>
              <w:rPr>
                <w:sz w:val="12"/>
              </w:rPr>
              <w:t>Document units and field definitions</w:t>
            </w:r>
          </w:p>
        </w:tc>
        <w:tc>
          <w:tcPr>
            <w:tcW w:type="dxa" w:w="1694"/>
            <w:vAlign w:val="center"/>
          </w:tcPr>
          <w:p>
            <w:r>
              <w:rPr>
                <w:sz w:val="12"/>
              </w:rPr>
              <w:t>Income and loan units are not confirmed</w:t>
            </w:r>
          </w:p>
        </w:tc>
        <w:tc>
          <w:tcPr>
            <w:tcW w:type="dxa" w:w="1694"/>
            <w:vAlign w:val="center"/>
          </w:tcPr>
          <w:p>
            <w:r>
              <w:rPr>
                <w:sz w:val="12"/>
              </w:rPr>
              <w:t>Finance Data Owner</w:t>
            </w:r>
          </w:p>
        </w:tc>
        <w:tc>
          <w:tcPr>
            <w:tcW w:type="dxa" w:w="1694"/>
            <w:vAlign w:val="center"/>
          </w:tcPr>
          <w:p>
            <w:r>
              <w:rPr>
                <w:sz w:val="12"/>
              </w:rPr>
              <w:t>0–30 days</w:t>
            </w:r>
          </w:p>
        </w:tc>
        <w:tc>
          <w:tcPr>
            <w:tcW w:type="dxa" w:w="1694"/>
            <w:vAlign w:val="center"/>
          </w:tcPr>
          <w:p>
            <w:r>
              <w:rPr>
                <w:sz w:val="12"/>
              </w:rPr>
              <w:t>Approved data dictionary issued</w:t>
            </w:r>
          </w:p>
        </w:tc>
      </w:tr>
      <w:tr>
        <w:tc>
          <w:tcPr>
            <w:tcW w:type="dxa" w:w="1694"/>
            <w:vAlign w:val="center"/>
          </w:tcPr>
          <w:p>
            <w:r>
              <w:rPr>
                <w:sz w:val="12"/>
              </w:rPr>
              <w:t>High</w:t>
            </w:r>
          </w:p>
        </w:tc>
        <w:tc>
          <w:tcPr>
            <w:tcW w:type="dxa" w:w="1694"/>
            <w:vAlign w:val="center"/>
          </w:tcPr>
          <w:p>
            <w:r>
              <w:rPr>
                <w:sz w:val="12"/>
              </w:rPr>
              <w:t>Require reason codes for decisions</w:t>
            </w:r>
          </w:p>
        </w:tc>
        <w:tc>
          <w:tcPr>
            <w:tcW w:type="dxa" w:w="1694"/>
            <w:vAlign w:val="center"/>
          </w:tcPr>
          <w:p>
            <w:r>
              <w:rPr>
                <w:sz w:val="12"/>
              </w:rPr>
              <w:t>Outcome alone does not explain underwriting judgement</w:t>
            </w:r>
          </w:p>
        </w:tc>
        <w:tc>
          <w:tcPr>
            <w:tcW w:type="dxa" w:w="1694"/>
            <w:vAlign w:val="center"/>
          </w:tcPr>
          <w:p>
            <w:r>
              <w:rPr>
                <w:sz w:val="12"/>
              </w:rPr>
              <w:t>Credit Risk + Operations</w:t>
            </w:r>
          </w:p>
        </w:tc>
        <w:tc>
          <w:tcPr>
            <w:tcW w:type="dxa" w:w="1694"/>
            <w:vAlign w:val="center"/>
          </w:tcPr>
          <w:p>
            <w:r>
              <w:rPr>
                <w:sz w:val="12"/>
              </w:rPr>
              <w:t>30–60 days</w:t>
            </w:r>
          </w:p>
        </w:tc>
        <w:tc>
          <w:tcPr>
            <w:tcW w:type="dxa" w:w="1694"/>
            <w:vAlign w:val="center"/>
          </w:tcPr>
          <w:p>
            <w:r>
              <w:rPr>
                <w:sz w:val="12"/>
              </w:rPr>
              <w:t>≥95% decisions with valid reason code</w:t>
            </w:r>
          </w:p>
        </w:tc>
      </w:tr>
      <w:tr>
        <w:tc>
          <w:tcPr>
            <w:tcW w:type="dxa" w:w="1694"/>
            <w:vAlign w:val="center"/>
          </w:tcPr>
          <w:p>
            <w:r>
              <w:rPr>
                <w:sz w:val="12"/>
              </w:rPr>
              <w:t>High</w:t>
            </w:r>
          </w:p>
        </w:tc>
        <w:tc>
          <w:tcPr>
            <w:tcW w:type="dxa" w:w="1694"/>
            <w:vAlign w:val="center"/>
          </w:tcPr>
          <w:p>
            <w:r>
              <w:rPr>
                <w:sz w:val="12"/>
              </w:rPr>
              <w:t>Link applications to disbursement and repayment performance</w:t>
            </w:r>
          </w:p>
        </w:tc>
        <w:tc>
          <w:tcPr>
            <w:tcW w:type="dxa" w:w="1694"/>
            <w:vAlign w:val="center"/>
          </w:tcPr>
          <w:p>
            <w:r>
              <w:rPr>
                <w:sz w:val="12"/>
              </w:rPr>
              <w:t>Current file cannot measure default or loss</w:t>
            </w:r>
          </w:p>
        </w:tc>
        <w:tc>
          <w:tcPr>
            <w:tcW w:type="dxa" w:w="1694"/>
            <w:vAlign w:val="center"/>
          </w:tcPr>
          <w:p>
            <w:r>
              <w:rPr>
                <w:sz w:val="12"/>
              </w:rPr>
              <w:t>Credit Risk + IT</w:t>
            </w:r>
          </w:p>
        </w:tc>
        <w:tc>
          <w:tcPr>
            <w:tcW w:type="dxa" w:w="1694"/>
            <w:vAlign w:val="center"/>
          </w:tcPr>
          <w:p>
            <w:r>
              <w:rPr>
                <w:sz w:val="12"/>
              </w:rPr>
              <w:t>60–120 days</w:t>
            </w:r>
          </w:p>
        </w:tc>
        <w:tc>
          <w:tcPr>
            <w:tcW w:type="dxa" w:w="1694"/>
            <w:vAlign w:val="center"/>
          </w:tcPr>
          <w:p>
            <w:r>
              <w:rPr>
                <w:sz w:val="12"/>
              </w:rPr>
              <w:t>Monthly performance-linked dataset</w:t>
            </w:r>
          </w:p>
        </w:tc>
      </w:tr>
      <w:tr>
        <w:tc>
          <w:tcPr>
            <w:tcW w:type="dxa" w:w="1694"/>
            <w:vAlign w:val="center"/>
          </w:tcPr>
          <w:p>
            <w:r>
              <w:rPr>
                <w:sz w:val="12"/>
              </w:rPr>
              <w:t>Medium</w:t>
            </w:r>
          </w:p>
        </w:tc>
        <w:tc>
          <w:tcPr>
            <w:tcW w:type="dxa" w:w="1694"/>
            <w:vAlign w:val="center"/>
          </w:tcPr>
          <w:p>
            <w:r>
              <w:rPr>
                <w:sz w:val="12"/>
              </w:rPr>
              <w:t>Implement approval monitoring with minimum n thresholds</w:t>
            </w:r>
          </w:p>
        </w:tc>
        <w:tc>
          <w:tcPr>
            <w:tcW w:type="dxa" w:w="1694"/>
            <w:vAlign w:val="center"/>
          </w:tcPr>
          <w:p>
            <w:r>
              <w:rPr>
                <w:sz w:val="12"/>
              </w:rPr>
              <w:t>Group differences need controlled interpretation</w:t>
            </w:r>
          </w:p>
        </w:tc>
        <w:tc>
          <w:tcPr>
            <w:tcW w:type="dxa" w:w="1694"/>
            <w:vAlign w:val="center"/>
          </w:tcPr>
          <w:p>
            <w:r>
              <w:rPr>
                <w:sz w:val="12"/>
              </w:rPr>
              <w:t>Finance MI</w:t>
            </w:r>
          </w:p>
        </w:tc>
        <w:tc>
          <w:tcPr>
            <w:tcW w:type="dxa" w:w="1694"/>
            <w:vAlign w:val="center"/>
          </w:tcPr>
          <w:p>
            <w:r>
              <w:rPr>
                <w:sz w:val="12"/>
              </w:rPr>
              <w:t>30–60 days</w:t>
            </w:r>
          </w:p>
        </w:tc>
        <w:tc>
          <w:tcPr>
            <w:tcW w:type="dxa" w:w="1694"/>
            <w:vAlign w:val="center"/>
          </w:tcPr>
          <w:p>
            <w:r>
              <w:rPr>
                <w:sz w:val="12"/>
              </w:rPr>
              <w:t>Dashboard includes n, missingness and alerts</w:t>
            </w:r>
          </w:p>
        </w:tc>
      </w:tr>
      <w:tr>
        <w:tc>
          <w:tcPr>
            <w:tcW w:type="dxa" w:w="1694"/>
            <w:vAlign w:val="center"/>
          </w:tcPr>
          <w:p>
            <w:r>
              <w:rPr>
                <w:sz w:val="12"/>
              </w:rPr>
              <w:t>Medium</w:t>
            </w:r>
          </w:p>
        </w:tc>
        <w:tc>
          <w:tcPr>
            <w:tcW w:type="dxa" w:w="1694"/>
            <w:vAlign w:val="center"/>
          </w:tcPr>
          <w:p>
            <w:r>
              <w:rPr>
                <w:sz w:val="12"/>
              </w:rPr>
              <w:t>Build a verified affordability assessment</w:t>
            </w:r>
          </w:p>
        </w:tc>
        <w:tc>
          <w:tcPr>
            <w:tcW w:type="dxa" w:w="1694"/>
            <w:vAlign w:val="center"/>
          </w:tcPr>
          <w:p>
            <w:r>
              <w:rPr>
                <w:sz w:val="12"/>
              </w:rPr>
              <w:t>Current ratio lacks instalments, debts and expenses</w:t>
            </w:r>
          </w:p>
        </w:tc>
        <w:tc>
          <w:tcPr>
            <w:tcW w:type="dxa" w:w="1694"/>
            <w:vAlign w:val="center"/>
          </w:tcPr>
          <w:p>
            <w:r>
              <w:rPr>
                <w:sz w:val="12"/>
              </w:rPr>
              <w:t>Credit Policy</w:t>
            </w:r>
          </w:p>
        </w:tc>
        <w:tc>
          <w:tcPr>
            <w:tcW w:type="dxa" w:w="1694"/>
            <w:vAlign w:val="center"/>
          </w:tcPr>
          <w:p>
            <w:r>
              <w:rPr>
                <w:sz w:val="12"/>
              </w:rPr>
              <w:t>60–120 days</w:t>
            </w:r>
          </w:p>
        </w:tc>
        <w:tc>
          <w:tcPr>
            <w:tcW w:type="dxa" w:w="1694"/>
            <w:vAlign w:val="center"/>
          </w:tcPr>
          <w:p>
            <w:r>
              <w:rPr>
                <w:sz w:val="12"/>
              </w:rPr>
              <w:t>Documented affordability methodology</w:t>
            </w:r>
          </w:p>
        </w:tc>
      </w:tr>
      <w:tr>
        <w:tc>
          <w:tcPr>
            <w:tcW w:type="dxa" w:w="1694"/>
            <w:vAlign w:val="center"/>
          </w:tcPr>
          <w:p>
            <w:r>
              <w:rPr>
                <w:sz w:val="12"/>
              </w:rPr>
              <w:t>Medium</w:t>
            </w:r>
          </w:p>
        </w:tc>
        <w:tc>
          <w:tcPr>
            <w:tcW w:type="dxa" w:w="1694"/>
            <w:vAlign w:val="center"/>
          </w:tcPr>
          <w:p>
            <w:r>
              <w:rPr>
                <w:sz w:val="12"/>
              </w:rPr>
              <w:t>Capture processing timestamps</w:t>
            </w:r>
          </w:p>
        </w:tc>
        <w:tc>
          <w:tcPr>
            <w:tcW w:type="dxa" w:w="1694"/>
            <w:vAlign w:val="center"/>
          </w:tcPr>
          <w:p>
            <w:r>
              <w:rPr>
                <w:sz w:val="12"/>
              </w:rPr>
              <w:t>No turnaround or bottleneck analysis is possible</w:t>
            </w:r>
          </w:p>
        </w:tc>
        <w:tc>
          <w:tcPr>
            <w:tcW w:type="dxa" w:w="1694"/>
            <w:vAlign w:val="center"/>
          </w:tcPr>
          <w:p>
            <w:r>
              <w:rPr>
                <w:sz w:val="12"/>
              </w:rPr>
              <w:t>Loan Operations</w:t>
            </w:r>
          </w:p>
        </w:tc>
        <w:tc>
          <w:tcPr>
            <w:tcW w:type="dxa" w:w="1694"/>
            <w:vAlign w:val="center"/>
          </w:tcPr>
          <w:p>
            <w:r>
              <w:rPr>
                <w:sz w:val="12"/>
              </w:rPr>
              <w:t>30–90 days</w:t>
            </w:r>
          </w:p>
        </w:tc>
        <w:tc>
          <w:tcPr>
            <w:tcW w:type="dxa" w:w="1694"/>
            <w:vAlign w:val="center"/>
          </w:tcPr>
          <w:p>
            <w:r>
              <w:rPr>
                <w:sz w:val="12"/>
              </w:rPr>
              <w:t>≥95% applications with stage timestamps</w:t>
            </w:r>
          </w:p>
        </w:tc>
      </w:tr>
      <w:tr>
        <w:tc>
          <w:tcPr>
            <w:tcW w:type="dxa" w:w="1694"/>
            <w:vAlign w:val="center"/>
          </w:tcPr>
          <w:p>
            <w:r>
              <w:rPr>
                <w:sz w:val="12"/>
              </w:rPr>
              <w:t>Low</w:t>
            </w:r>
          </w:p>
        </w:tc>
        <w:tc>
          <w:tcPr>
            <w:tcW w:type="dxa" w:w="1694"/>
            <w:vAlign w:val="center"/>
          </w:tcPr>
          <w:p>
            <w:r>
              <w:rPr>
                <w:sz w:val="12"/>
              </w:rPr>
              <w:t>Perform periodic fair-lending outcome review</w:t>
            </w:r>
          </w:p>
        </w:tc>
        <w:tc>
          <w:tcPr>
            <w:tcW w:type="dxa" w:w="1694"/>
            <w:vAlign w:val="center"/>
          </w:tcPr>
          <w:p>
            <w:r>
              <w:rPr>
                <w:sz w:val="12"/>
              </w:rPr>
              <w:t>Demographic outcome patterns require responsible monitoring</w:t>
            </w:r>
          </w:p>
        </w:tc>
        <w:tc>
          <w:tcPr>
            <w:tcW w:type="dxa" w:w="1694"/>
            <w:vAlign w:val="center"/>
          </w:tcPr>
          <w:p>
            <w:r>
              <w:rPr>
                <w:sz w:val="12"/>
              </w:rPr>
              <w:t>Compliance + Credit Risk</w:t>
            </w:r>
          </w:p>
        </w:tc>
        <w:tc>
          <w:tcPr>
            <w:tcW w:type="dxa" w:w="1694"/>
            <w:vAlign w:val="center"/>
          </w:tcPr>
          <w:p>
            <w:r>
              <w:rPr>
                <w:sz w:val="12"/>
              </w:rPr>
              <w:t>Quarterly</w:t>
            </w:r>
          </w:p>
        </w:tc>
        <w:tc>
          <w:tcPr>
            <w:tcW w:type="dxa" w:w="1694"/>
            <w:vAlign w:val="center"/>
          </w:tcPr>
          <w:p>
            <w:r>
              <w:rPr>
                <w:sz w:val="12"/>
              </w:rPr>
              <w:t>Documented review and remediation log</w:t>
            </w:r>
          </w:p>
        </w:tc>
      </w:tr>
    </w:tbl>
    <w:p>
      <w:pPr>
        <w:pStyle w:val="Heading1"/>
      </w:pPr>
      <w:r>
        <w:t>10. Additional Data Required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tcPr>
          <w:p>
            <w:r>
              <w:rPr>
                <w:b/>
                <w:color w:val="FFFFFF"/>
                <w:sz w:val="15"/>
              </w:rPr>
              <w:t>Additional data</w:t>
            </w:r>
          </w:p>
        </w:tc>
        <w:tc>
          <w:tcPr>
            <w:tcW w:type="dxa" w:w="5083"/>
            <w:shd w:fill="17365D"/>
          </w:tcPr>
          <w:p>
            <w:r>
              <w:rPr>
                <w:b/>
                <w:color w:val="FFFFFF"/>
                <w:sz w:val="15"/>
              </w:rPr>
              <w:t>Future metrics enabled</w:t>
            </w:r>
          </w:p>
        </w:tc>
      </w:tr>
      <w:tr>
        <w:tc>
          <w:tcPr>
            <w:tcW w:type="dxa" w:w="5083"/>
            <w:vAlign w:val="center"/>
          </w:tcPr>
          <w:p>
            <w:r>
              <w:rPr>
                <w:sz w:val="15"/>
              </w:rPr>
              <w:t>Historical repayment performance</w:t>
            </w:r>
          </w:p>
        </w:tc>
        <w:tc>
          <w:tcPr>
            <w:tcW w:type="dxa" w:w="5083"/>
            <w:vAlign w:val="center"/>
          </w:tcPr>
          <w:p>
            <w:r>
              <w:rPr>
                <w:sz w:val="15"/>
              </w:rPr>
              <w:t>Vintage curves, roll rates and realised default rates</w:t>
            </w:r>
          </w:p>
        </w:tc>
      </w:tr>
      <w:tr>
        <w:tc>
          <w:tcPr>
            <w:tcW w:type="dxa" w:w="5083"/>
            <w:vAlign w:val="center"/>
          </w:tcPr>
          <w:p>
            <w:r>
              <w:rPr>
                <w:sz w:val="15"/>
              </w:rPr>
              <w:t>Delinquency/default records</w:t>
            </w:r>
          </w:p>
        </w:tc>
        <w:tc>
          <w:tcPr>
            <w:tcW w:type="dxa" w:w="5083"/>
            <w:vAlign w:val="center"/>
          </w:tcPr>
          <w:p>
            <w:r>
              <w:rPr>
                <w:sz w:val="15"/>
              </w:rPr>
              <w:t>PD estimation and arrears monitoring</w:t>
            </w:r>
          </w:p>
        </w:tc>
      </w:tr>
      <w:tr>
        <w:tc>
          <w:tcPr>
            <w:tcW w:type="dxa" w:w="5083"/>
            <w:vAlign w:val="center"/>
          </w:tcPr>
          <w:p>
            <w:r>
              <w:rPr>
                <w:sz w:val="15"/>
              </w:rPr>
              <w:t>Interest rates and schedules</w:t>
            </w:r>
          </w:p>
        </w:tc>
        <w:tc>
          <w:tcPr>
            <w:tcW w:type="dxa" w:w="5083"/>
            <w:vAlign w:val="center"/>
          </w:tcPr>
          <w:p>
            <w:r>
              <w:rPr>
                <w:sz w:val="15"/>
              </w:rPr>
              <w:t>Instalments, yield and debt-service measures</w:t>
            </w:r>
          </w:p>
        </w:tc>
      </w:tr>
      <w:tr>
        <w:tc>
          <w:tcPr>
            <w:tcW w:type="dxa" w:w="5083"/>
            <w:vAlign w:val="center"/>
          </w:tcPr>
          <w:p>
            <w:r>
              <w:rPr>
                <w:sz w:val="15"/>
              </w:rPr>
              <w:t>Existing debt and verified expenses</w:t>
            </w:r>
          </w:p>
        </w:tc>
        <w:tc>
          <w:tcPr>
            <w:tcW w:type="dxa" w:w="5083"/>
            <w:vAlign w:val="center"/>
          </w:tcPr>
          <w:p>
            <w:r>
              <w:rPr>
                <w:sz w:val="15"/>
              </w:rPr>
              <w:t>Debt-to-income and residual-income affordability</w:t>
            </w:r>
          </w:p>
        </w:tc>
      </w:tr>
      <w:tr>
        <w:tc>
          <w:tcPr>
            <w:tcW w:type="dxa" w:w="5083"/>
            <w:vAlign w:val="center"/>
          </w:tcPr>
          <w:p>
            <w:r>
              <w:rPr>
                <w:sz w:val="15"/>
              </w:rPr>
              <w:t>Processing dates</w:t>
            </w:r>
          </w:p>
        </w:tc>
        <w:tc>
          <w:tcPr>
            <w:tcW w:type="dxa" w:w="5083"/>
            <w:vAlign w:val="center"/>
          </w:tcPr>
          <w:p>
            <w:r>
              <w:rPr>
                <w:sz w:val="15"/>
              </w:rPr>
              <w:t>Turnaround time and bottleneck analysis</w:t>
            </w:r>
          </w:p>
        </w:tc>
      </w:tr>
      <w:tr>
        <w:tc>
          <w:tcPr>
            <w:tcW w:type="dxa" w:w="5083"/>
            <w:vAlign w:val="center"/>
          </w:tcPr>
          <w:p>
            <w:r>
              <w:rPr>
                <w:sz w:val="15"/>
              </w:rPr>
              <w:t>Disbursed amounts and balances</w:t>
            </w:r>
          </w:p>
        </w:tc>
        <w:tc>
          <w:tcPr>
            <w:tcW w:type="dxa" w:w="5083"/>
            <w:vAlign w:val="center"/>
          </w:tcPr>
          <w:p>
            <w:r>
              <w:rPr>
                <w:sz w:val="15"/>
              </w:rPr>
              <w:t>Exposure and utilisation measures</w:t>
            </w:r>
          </w:p>
        </w:tc>
      </w:tr>
      <w:tr>
        <w:tc>
          <w:tcPr>
            <w:tcW w:type="dxa" w:w="5083"/>
            <w:vAlign w:val="center"/>
          </w:tcPr>
          <w:p>
            <w:r>
              <w:rPr>
                <w:sz w:val="15"/>
              </w:rPr>
              <w:t>Recoveries and collection costs</w:t>
            </w:r>
          </w:p>
        </w:tc>
        <w:tc>
          <w:tcPr>
            <w:tcW w:type="dxa" w:w="5083"/>
            <w:vAlign w:val="center"/>
          </w:tcPr>
          <w:p>
            <w:r>
              <w:rPr>
                <w:sz w:val="15"/>
              </w:rPr>
              <w:t>LGD, net recovery and collection efficiency</w:t>
            </w:r>
          </w:p>
        </w:tc>
      </w:tr>
      <w:tr>
        <w:tc>
          <w:tcPr>
            <w:tcW w:type="dxa" w:w="5083"/>
            <w:vAlign w:val="center"/>
          </w:tcPr>
          <w:p>
            <w:r>
              <w:rPr>
                <w:sz w:val="15"/>
              </w:rPr>
              <w:t>Larger historical samples</w:t>
            </w:r>
          </w:p>
        </w:tc>
        <w:tc>
          <w:tcPr>
            <w:tcW w:type="dxa" w:w="5083"/>
            <w:vAlign w:val="center"/>
          </w:tcPr>
          <w:p>
            <w:r>
              <w:rPr>
                <w:sz w:val="15"/>
              </w:rPr>
              <w:t>Stable segmentation and back-testing</w:t>
            </w:r>
          </w:p>
        </w:tc>
      </w:tr>
    </w:tbl>
    <w:p>
      <w:pPr>
        <w:pStyle w:val="Heading1"/>
      </w:pPr>
      <w:r>
        <w:t>11. Conclusion</w:t>
      </w:r>
    </w:p>
    <w:p>
      <w:r>
        <w:t>The workbook contains 614 applications, of which 422 were approved and 192 rejected. Credit history and property area show notable differences in approval outcomes, while reported financial values are skewed and include review-worthy extremes. These are descriptive patterns only.</w:t>
      </w:r>
    </w:p>
    <w:p>
      <w:r>
        <w:t>Management should first improve data definitions, completeness and reason-code capture, then develop linked application, disbursement, repayment and loss datasets. Until those controls and data are available, the workbook should not be used for definitive default-risk, affordability, profitability or capital conclusions.</w:t>
      </w:r>
    </w:p>
    <w:p>
      <w:pPr>
        <w:pStyle w:val="Heading1"/>
      </w:pPr>
      <w:r>
        <w:t>12. Appendix</w:t>
      </w:r>
    </w:p>
    <w:p>
      <w:pPr>
        <w:pStyle w:val="Heading2"/>
      </w:pPr>
      <w:r>
        <w:t>12.1 Data dictionary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tcPr>
          <w:p>
            <w:r>
              <w:rPr>
                <w:b/>
                <w:color w:val="FFFFFF"/>
                <w:sz w:val="15"/>
              </w:rPr>
              <w:t>Field</w:t>
            </w:r>
          </w:p>
        </w:tc>
        <w:tc>
          <w:tcPr>
            <w:tcW w:type="dxa" w:w="5083"/>
            <w:shd w:fill="17365D"/>
          </w:tcPr>
          <w:p>
            <w:r>
              <w:rPr>
                <w:b/>
                <w:color w:val="FFFFFF"/>
                <w:sz w:val="15"/>
              </w:rPr>
              <w:t>Definition / treatment</w:t>
            </w:r>
          </w:p>
        </w:tc>
      </w:tr>
      <w:tr>
        <w:tc>
          <w:tcPr>
            <w:tcW w:type="dxa" w:w="5083"/>
            <w:vAlign w:val="center"/>
          </w:tcPr>
          <w:p>
            <w:r>
              <w:rPr>
                <w:sz w:val="15"/>
              </w:rPr>
              <w:t>Loan_ID</w:t>
            </w:r>
          </w:p>
        </w:tc>
        <w:tc>
          <w:tcPr>
            <w:tcW w:type="dxa" w:w="5083"/>
            <w:vAlign w:val="center"/>
          </w:tcPr>
          <w:p>
            <w:r>
              <w:rPr>
                <w:sz w:val="15"/>
              </w:rPr>
              <w:t>Application identifier</w:t>
            </w:r>
          </w:p>
        </w:tc>
      </w:tr>
      <w:tr>
        <w:tc>
          <w:tcPr>
            <w:tcW w:type="dxa" w:w="5083"/>
            <w:vAlign w:val="center"/>
          </w:tcPr>
          <w:p>
            <w:r>
              <w:rPr>
                <w:sz w:val="15"/>
              </w:rPr>
              <w:t>Gender, Married, Dependents, Education, Self_Employed</w:t>
            </w:r>
          </w:p>
        </w:tc>
        <w:tc>
          <w:tcPr>
            <w:tcW w:type="dxa" w:w="5083"/>
            <w:vAlign w:val="center"/>
          </w:tcPr>
          <w:p>
            <w:r>
              <w:rPr>
                <w:sz w:val="15"/>
              </w:rPr>
              <w:t>Applicant profile fields; missingness retained</w:t>
            </w:r>
          </w:p>
        </w:tc>
      </w:tr>
      <w:tr>
        <w:tc>
          <w:tcPr>
            <w:tcW w:type="dxa" w:w="5083"/>
            <w:vAlign w:val="center"/>
          </w:tcPr>
          <w:p>
            <w:r>
              <w:rPr>
                <w:sz w:val="15"/>
              </w:rPr>
              <w:t>ApplicantIncome</w:t>
            </w:r>
          </w:p>
        </w:tc>
        <w:tc>
          <w:tcPr>
            <w:tcW w:type="dxa" w:w="5083"/>
            <w:vAlign w:val="center"/>
          </w:tcPr>
          <w:p>
            <w:r>
              <w:rPr>
                <w:sz w:val="15"/>
              </w:rPr>
              <w:t>Reported applicant income; unit/period undocumented</w:t>
            </w:r>
          </w:p>
        </w:tc>
      </w:tr>
      <w:tr>
        <w:tc>
          <w:tcPr>
            <w:tcW w:type="dxa" w:w="5083"/>
            <w:vAlign w:val="center"/>
          </w:tcPr>
          <w:p>
            <w:r>
              <w:rPr>
                <w:sz w:val="15"/>
              </w:rPr>
              <w:t>CoapplicantIncome</w:t>
            </w:r>
          </w:p>
        </w:tc>
        <w:tc>
          <w:tcPr>
            <w:tcW w:type="dxa" w:w="5083"/>
            <w:vAlign w:val="center"/>
          </w:tcPr>
          <w:p>
            <w:r>
              <w:rPr>
                <w:sz w:val="15"/>
              </w:rPr>
              <w:t>Reported co-applicant income; unit/period undocumented</w:t>
            </w:r>
          </w:p>
        </w:tc>
      </w:tr>
      <w:tr>
        <w:tc>
          <w:tcPr>
            <w:tcW w:type="dxa" w:w="5083"/>
            <w:vAlign w:val="center"/>
          </w:tcPr>
          <w:p>
            <w:r>
              <w:rPr>
                <w:sz w:val="15"/>
              </w:rPr>
              <w:t>LoanAmount</w:t>
            </w:r>
          </w:p>
        </w:tc>
        <w:tc>
          <w:tcPr>
            <w:tcW w:type="dxa" w:w="5083"/>
            <w:vAlign w:val="center"/>
          </w:tcPr>
          <w:p>
            <w:r>
              <w:rPr>
                <w:sz w:val="15"/>
              </w:rPr>
              <w:t>Requested amount; unit undocumented</w:t>
            </w:r>
          </w:p>
        </w:tc>
      </w:tr>
      <w:tr>
        <w:tc>
          <w:tcPr>
            <w:tcW w:type="dxa" w:w="5083"/>
            <w:vAlign w:val="center"/>
          </w:tcPr>
          <w:p>
            <w:r>
              <w:rPr>
                <w:sz w:val="15"/>
              </w:rPr>
              <w:t>Loan_Amount_Term</w:t>
            </w:r>
          </w:p>
        </w:tc>
        <w:tc>
          <w:tcPr>
            <w:tcW w:type="dxa" w:w="5083"/>
            <w:vAlign w:val="center"/>
          </w:tcPr>
          <w:p>
            <w:r>
              <w:rPr>
                <w:sz w:val="15"/>
              </w:rPr>
              <w:t>Reported term, apparently numeric; workbook documentation absent</w:t>
            </w:r>
          </w:p>
        </w:tc>
      </w:tr>
      <w:tr>
        <w:tc>
          <w:tcPr>
            <w:tcW w:type="dxa" w:w="5083"/>
            <w:vAlign w:val="center"/>
          </w:tcPr>
          <w:p>
            <w:r>
              <w:rPr>
                <w:sz w:val="15"/>
              </w:rPr>
              <w:t>Credit_History</w:t>
            </w:r>
          </w:p>
        </w:tc>
        <w:tc>
          <w:tcPr>
            <w:tcW w:type="dxa" w:w="5083"/>
            <w:vAlign w:val="center"/>
          </w:tcPr>
          <w:p>
            <w:r>
              <w:rPr>
                <w:sz w:val="15"/>
              </w:rPr>
              <w:t>Recorded indicator: 1, 0 or missing</w:t>
            </w:r>
          </w:p>
        </w:tc>
      </w:tr>
      <w:tr>
        <w:tc>
          <w:tcPr>
            <w:tcW w:type="dxa" w:w="5083"/>
            <w:vAlign w:val="center"/>
          </w:tcPr>
          <w:p>
            <w:r>
              <w:rPr>
                <w:sz w:val="15"/>
              </w:rPr>
              <w:t>Property_Area</w:t>
            </w:r>
          </w:p>
        </w:tc>
        <w:tc>
          <w:tcPr>
            <w:tcW w:type="dxa" w:w="5083"/>
            <w:vAlign w:val="center"/>
          </w:tcPr>
          <w:p>
            <w:r>
              <w:rPr>
                <w:sz w:val="15"/>
              </w:rPr>
              <w:t>Urban, Semiurban or Rural</w:t>
            </w:r>
          </w:p>
        </w:tc>
      </w:tr>
      <w:tr>
        <w:tc>
          <w:tcPr>
            <w:tcW w:type="dxa" w:w="5083"/>
            <w:vAlign w:val="center"/>
          </w:tcPr>
          <w:p>
            <w:r>
              <w:rPr>
                <w:sz w:val="15"/>
              </w:rPr>
              <w:t>Loan_Status</w:t>
            </w:r>
          </w:p>
        </w:tc>
        <w:tc>
          <w:tcPr>
            <w:tcW w:type="dxa" w:w="5083"/>
            <w:vAlign w:val="center"/>
          </w:tcPr>
          <w:p>
            <w:r>
              <w:rPr>
                <w:sz w:val="15"/>
              </w:rPr>
              <w:t>Application decision: Y approved, N rejected</w:t>
            </w:r>
          </w:p>
        </w:tc>
      </w:tr>
      <w:tr>
        <w:tc>
          <w:tcPr>
            <w:tcW w:type="dxa" w:w="5083"/>
            <w:vAlign w:val="center"/>
          </w:tcPr>
          <w:p>
            <w:r>
              <w:rPr>
                <w:sz w:val="15"/>
              </w:rPr>
              <w:t>Risk_Category</w:t>
            </w:r>
          </w:p>
        </w:tc>
        <w:tc>
          <w:tcPr>
            <w:tcW w:type="dxa" w:w="5083"/>
            <w:vAlign w:val="center"/>
          </w:tcPr>
          <w:p>
            <w:r>
              <w:rPr>
                <w:sz w:val="15"/>
              </w:rPr>
              <w:t>Workbook-supplied category; derivation not documented</w:t>
            </w:r>
          </w:p>
        </w:tc>
      </w:tr>
      <w:tr>
        <w:tc>
          <w:tcPr>
            <w:tcW w:type="dxa" w:w="5083"/>
            <w:vAlign w:val="center"/>
          </w:tcPr>
          <w:p>
            <w:r>
              <w:rPr>
                <w:sz w:val="15"/>
              </w:rPr>
              <w:t>CombinedIncome</w:t>
            </w:r>
          </w:p>
        </w:tc>
        <w:tc>
          <w:tcPr>
            <w:tcW w:type="dxa" w:w="5083"/>
            <w:vAlign w:val="center"/>
          </w:tcPr>
          <w:p>
            <w:r>
              <w:rPr>
                <w:sz w:val="15"/>
              </w:rPr>
              <w:t>Calculated: ApplicantIncome + CoapplicantIncome</w:t>
            </w:r>
          </w:p>
        </w:tc>
      </w:tr>
      <w:tr>
        <w:tc>
          <w:tcPr>
            <w:tcW w:type="dxa" w:w="5083"/>
            <w:vAlign w:val="center"/>
          </w:tcPr>
          <w:p>
            <w:r>
              <w:rPr>
                <w:sz w:val="15"/>
              </w:rPr>
              <w:t>Loan-to-income index</w:t>
            </w:r>
          </w:p>
        </w:tc>
        <w:tc>
          <w:tcPr>
            <w:tcW w:type="dxa" w:w="5083"/>
            <w:vAlign w:val="center"/>
          </w:tcPr>
          <w:p>
            <w:r>
              <w:rPr>
                <w:sz w:val="15"/>
              </w:rPr>
              <w:t>Calculated: LoanAmount ÷ CombinedIncome; relative index only</w:t>
            </w:r>
          </w:p>
        </w:tc>
      </w:tr>
    </w:tbl>
    <w:p>
      <w:pPr>
        <w:pStyle w:val="Heading2"/>
      </w:pPr>
      <w:r>
        <w:t>12.2 Formula definitions</w:t>
      </w:r>
    </w:p>
    <w:p>
      <w:r>
        <w:t>• Approval rate = approved applications in group ÷ all applications in group.</w:t>
      </w:r>
    </w:p>
    <w:p>
      <w:r>
        <w:t>• Rejection rate = rejected applications in group ÷ all applications in group.</w:t>
      </w:r>
    </w:p>
    <w:p>
      <w:r>
        <w:t>• CombinedIncome = ApplicantIncome + CoapplicantIncome.</w:t>
      </w:r>
    </w:p>
    <w:p>
      <w:r>
        <w:t>• Loan-to-income index = LoanAmount ÷ CombinedIncome for complete, positive-income records.</w:t>
      </w:r>
    </w:p>
    <w:p>
      <w:r>
        <w:t>• Outlier upper threshold = third quartile + 1.5 × interquartile range.</w:t>
      </w:r>
    </w:p>
    <w:p>
      <w:r>
        <w:t>• Missing percentage = missing observations ÷ total application records for the field.</w:t>
      </w:r>
    </w:p>
    <w:p>
      <w:pPr>
        <w:pStyle w:val="Heading2"/>
      </w:pPr>
      <w:r>
        <w:t>12.3 Assumptions and limitations</w:t>
      </w:r>
    </w:p>
    <w:p>
      <w:r>
        <w:t>No monetary unit, income period or term unit was assumed. Missing values were excluded pairwise and were not imputed. Quartile bands were calculated from valid observations. Small groups with fewer than 30 applications were flagged. Applicant-level details were not reproduced in this report. The analysis is cross-sectional and contains no external data.</w:t>
      </w:r>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Finance &amp; Credit Risk | Confidential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546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Loan Portfolio Analysis, Credit Risk Assessment, and Loan Approval Performance Report</dc:title>
  <dc:subject>Finance and Credit Risk Management Report</dc:subject>
  <dc:creator>M365 Copilot</dc:creator>
  <keywords/>
  <dc:description>generated by python-docx</dc:description>
  <lastModifiedBy>M365 Copilot</lastModifiedBy>
  <revision>1</revision>
  <dcterms:created xsi:type="dcterms:W3CDTF">2026-10-10T05:35:41.0187953Z</dcterms:created>
  <dcterms:modified xsi:type="dcterms:W3CDTF">2026-10-10T05:35:41.0187953Z</dcterms:modified>
  <category/>
</coreProperties>
</file>