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xml="http://www.w3.org/XML/1998/namespace">
  <w:body>
    <w:p>
      <w:pPr>
        <w:spacing w:after="120"/>
        <w:jc w:val="center"/>
      </w:pPr>
      <w:r>
        <w:rPr>
          <w:b/>
          <w:rFonts w:ascii="Arial" w:hAnsi="Arial"/>
          <w:sz w:val="32"/>
        </w:rPr>
        <w:t>MacroTool: What It Can Do Now</w:t>
      </w:r>
    </w:p>
    <w:p>
      <w:pPr>
        <w:spacing w:after="60" w:line="228" w:lineRule="auto"/>
      </w:pPr>
      <w:r>
        <w:rPr>
          <w:rFonts w:ascii="Arial" w:hAnsi="Arial"/>
          <w:sz w:val="21"/>
        </w:rPr>
        <w:t xml:space="preserve">MacroTool is a working proof-of-concept for analysing emerging-market FX trade views. It is designed for a macro PM or subject matter expert who wants to test whether a trade idea is large or small versus the current market, see how the market distribution looks, and get an initial structure recommendation. The current version is not a live trading system and does not use live Bloomberg data; it works from a synthetic market snapshot dated 25 March 2026.</w:t>
      </w:r>
    </w:p>
    <w:p>
      <w:pPr>
        <w:spacing w:before="80" w:after="20"/>
      </w:pPr>
      <w:r>
        <w:rPr>
          <w:b/>
          <w:rFonts w:ascii="Arial" w:hAnsi="Arial"/>
          <w:sz w:val="23"/>
        </w:rPr>
        <w:t>What the user can do</w:t>
      </w:r>
    </w:p>
    <w:p>
      <w:pPr>
        <w:spacing w:after="8" w:line="228" w:lineRule="auto"/>
        <w:ind w:left="360" w:hanging="18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 xml:space="preserve">Enter a trade view in plain English, for example: Long USDBRL, 5% move, 3 months, high conviction.</w:t>
      </w:r>
    </w:p>
    <w:p>
      <w:pPr>
        <w:spacing w:after="8" w:line="228" w:lineRule="auto"/>
        <w:ind w:left="360" w:hanging="18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 xml:space="preserve">Use the app for three covered currency pairs: USDBRL, USDTRY, and EURPLN.</w:t>
      </w:r>
    </w:p>
    <w:p>
      <w:pPr>
        <w:spacing w:after="8" w:line="228" w:lineRule="auto"/>
        <w:ind w:left="360" w:hanging="18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 xml:space="preserve">See the recognised pair, direction, horizon, target move, and the target move measured against the relevant forward price.</w:t>
      </w:r>
    </w:p>
    <w:p>
      <w:pPr>
        <w:spacing w:after="8" w:line="228" w:lineRule="auto"/>
        <w:ind w:left="360" w:hanging="18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 xml:space="preserve">Open a Market Data page showing spot, forwards, vol surfaces, and discount-factor inputs for each covered pair.</w:t>
      </w:r>
    </w:p>
    <w:p>
      <w:pPr>
        <w:spacing w:before="80" w:after="20"/>
      </w:pPr>
      <w:r>
        <w:rPr>
          <w:b/>
          <w:rFonts w:ascii="Arial" w:hAnsi="Arial"/>
          <w:sz w:val="23"/>
        </w:rPr>
        <w:t>What the tool calculates</w:t>
      </w:r>
    </w:p>
    <w:p>
      <w:pPr>
        <w:spacing w:after="8" w:line="228" w:lineRule="auto"/>
        <w:ind w:left="360" w:hanging="18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 xml:space="preserve">It builds a market-state summary: spot, forward, ATM volatility, carry measure, carry regime, target z-score, risk-reversal, and fly.</w:t>
      </w:r>
    </w:p>
    <w:p>
      <w:pPr>
        <w:spacing w:after="8" w:line="228" w:lineRule="auto"/>
        <w:ind w:left="360" w:hanging="18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 xml:space="preserve">It produces distribution charts showing the expected price range over the selected horizon, including a flat-vol view and a smile-adjusted view.</w:t>
      </w:r>
    </w:p>
    <w:p>
      <w:pPr>
        <w:spacing w:after="8" w:line="228" w:lineRule="auto"/>
        <w:ind w:left="360" w:hanging="18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 xml:space="preserve">It ranks trade structures using deterministic scoring rules. Current primary recommendations include vanilla calls or puts, call or put spreads, risk reversals, spot, and forwards depending on the view.</w:t>
      </w:r>
    </w:p>
    <w:p>
      <w:pPr>
        <w:spacing w:after="8" w:line="228" w:lineRule="auto"/>
        <w:ind w:left="360" w:hanging="18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 xml:space="preserve">It can include exotic comparison structures in the engine: reverse knock-outs, European digitals, and digital reverse knock-outs.</w:t>
      </w:r>
    </w:p>
    <w:p>
      <w:pPr>
        <w:spacing w:after="8" w:line="228" w:lineRule="auto"/>
        <w:ind w:left="360" w:hanging="18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 xml:space="preserve">It has pricing modules for spot/forward logic, Black-Scholes vanilla options, scenario matrices, reverse knock-outs, European digitals, and digital reverse knock-outs.</w:t>
      </w:r>
    </w:p>
    <w:p>
      <w:pPr>
        <w:spacing w:before="80" w:after="20"/>
      </w:pPr>
      <w:r>
        <w:rPr>
          <w:b/>
          <w:rFonts w:ascii="Arial" w:hAnsi="Arial"/>
          <w:sz w:val="23"/>
        </w:rPr>
        <w:t>Risk and sizing support</w:t>
      </w:r>
    </w:p>
    <w:p>
      <w:pPr>
        <w:spacing w:after="8" w:line="228" w:lineRule="auto"/>
        <w:ind w:left="360" w:hanging="18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 xml:space="preserve">The engine estimates position size from a stated premium budget or max-loss amount, then applies a Kelly-style sizing adjustment based on conviction.</w:t>
      </w:r>
    </w:p>
    <w:p>
      <w:pPr>
        <w:spacing w:after="8" w:line="228" w:lineRule="auto"/>
        <w:ind w:left="360" w:hanging="18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 xml:space="preserve">It derives a stop level from volatility rather than a round-number stop.</w:t>
      </w:r>
    </w:p>
    <w:p>
      <w:pPr>
        <w:spacing w:after="8" w:line="228" w:lineRule="auto"/>
        <w:ind w:left="360" w:hanging="18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 xml:space="preserve">It creates tranche-entry schedules when timing conviction is not high.</w:t>
      </w:r>
    </w:p>
    <w:p>
      <w:pPr>
        <w:spacing w:after="8" w:line="228" w:lineRule="auto"/>
        <w:ind w:left="360" w:hanging="18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 xml:space="preserve">It calculates take-profit levels when the user gives a target move.</w:t>
      </w:r>
    </w:p>
    <w:p>
      <w:pPr>
        <w:spacing w:before="80" w:after="20"/>
      </w:pPr>
      <w:r>
        <w:rPr>
          <w:b/>
          <w:rFonts w:ascii="Arial" w:hAnsi="Arial"/>
          <w:sz w:val="23"/>
        </w:rPr>
        <w:t>Critique and explanation layer</w:t>
      </w:r>
    </w:p>
    <w:p>
      <w:pPr>
        <w:spacing w:after="8" w:line="228" w:lineRule="auto"/>
        <w:ind w:left="360" w:hanging="18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 xml:space="preserve">The conversation engine can run in critique mode when the user supplies their own proposed structure.</w:t>
      </w:r>
    </w:p>
    <w:p>
      <w:pPr>
        <w:spacing w:after="8" w:line="228" w:lineRule="auto"/>
        <w:ind w:left="360" w:hanging="18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 xml:space="preserve">The critique framework checks expected-value fit, scenario weaknesses, execution considerations, hedge effectiveness, and gamma-management issues.</w:t>
      </w:r>
    </w:p>
    <w:p>
      <w:pPr>
        <w:spacing w:after="8" w:line="228" w:lineRule="auto"/>
        <w:ind w:left="360" w:hanging="18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 xml:space="preserve">The language layer uses an Anthropic API key when available to extract the view and explain the outputs in domain language.</w:t>
      </w:r>
    </w:p>
    <w:p>
      <w:pPr>
        <w:spacing w:before="80" w:after="20"/>
      </w:pPr>
      <w:r>
        <w:rPr>
          <w:b/>
          <w:rFonts w:ascii="Arial" w:hAnsi="Arial"/>
          <w:sz w:val="23"/>
        </w:rPr>
        <w:t>Operational status</w:t>
      </w:r>
    </w:p>
    <w:p>
      <w:pPr>
        <w:spacing w:after="60" w:line="228" w:lineRule="auto"/>
      </w:pPr>
      <w:r>
        <w:rPr>
          <w:rFonts w:ascii="Arial" w:hAnsi="Arial"/>
          <w:sz w:val="21"/>
        </w:rPr>
        <w:t xml:space="preserve">The Streamlit interface is usable today for view intake, charts, market-state display, scoring detail, and structure recommendation. The deeper sizing, scenario, and critique engines are present in the codebase and are exercised by the command-line demo and tests. Logging hooks are also present for local debug logs, Langfuse tracing, and Supabase query logging when credentials are configured.</w:t>
      </w:r>
    </w:p>
    <w:sectPr>
      <w:pgSz w:w="12240" w:h="15840"/>
      <w:pgMar w:top="720" w:right="720" w:bottom="720" w:left="720" w:header="360" w:footer="36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MacroTool Current Capabilities</dc:title>
  <dc:creator>Codex</dc:creator>
  <cp:lastModifiedBy>Codex</cp:lastModifiedBy>
</cp:coreProperties>
</file>