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in every region except EMEA.</w:t>
      </w:r>
    </w:p>
    <w:p>
      <w:pPr>
        <w:pStyle w:val="Heading2"/>
      </w:pPr>
      <w:r>
        <w:t>Highlights</w:t>
      </w:r>
    </w:p>
    <w:p>
      <w:pPr>
        <w:pStyle w:val="ListBullet"/>
      </w:pPr>
      <w:r>
        <w:t>APAC up 12%</w:t>
      </w:r>
    </w:p>
    <w:p>
      <w:pPr>
        <w:pStyle w:val="ListBullet"/>
      </w:pPr>
      <w:r>
        <w:t>Americas up 4%</w:t>
      </w:r>
    </w:p>
    <w:p>
      <w:pPr>
        <w:pStyle w:val="ListBullet"/>
      </w:pPr>
      <w:r>
        <w:t>EMEA down 3%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APAC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EMEA</w:t>
            </w:r>
          </w:p>
        </w:tc>
        <w:tc>
          <w:tcPr>
            <w:tcW w:type="dxa" w:w="4320"/>
          </w:tcPr>
          <w:p>
            <w:r>
              <w:t>800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8128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