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FD55" w14:textId="77777777" w:rsidR="000926F8" w:rsidRDefault="000926F8" w:rsidP="0078378A">
      <w:pPr>
        <w:pStyle w:val="Head-1"/>
      </w:pPr>
      <w:r>
        <w:t>Vulnerability Management Policy</w:t>
      </w:r>
    </w:p>
    <w:p w14:paraId="08CE8A96" w14:textId="77777777" w:rsidR="000926F8" w:rsidRDefault="000926F8" w:rsidP="000926F8">
      <w:r>
        <w:t>Version 1.2</w:t>
      </w:r>
    </w:p>
    <w:p w14:paraId="0C6BA67E" w14:textId="77777777" w:rsidR="000926F8" w:rsidRDefault="000926F8" w:rsidP="000926F8"/>
    <w:p w14:paraId="18DEE7BF" w14:textId="77777777" w:rsidR="000926F8" w:rsidRDefault="000926F8" w:rsidP="0078378A">
      <w:pPr>
        <w:pStyle w:val="Head-1"/>
      </w:pPr>
      <w:r>
        <w:t>Purpose</w:t>
      </w:r>
    </w:p>
    <w:p w14:paraId="3A6D582A" w14:textId="67A23F14" w:rsidR="000926F8" w:rsidRDefault="000926F8" w:rsidP="000926F8">
      <w:r>
        <w:t xml:space="preserve">The purpose of this policy is to ensure a higher level of security </w:t>
      </w:r>
      <w:r w:rsidR="0078378A">
        <w:t xml:space="preserve">for </w:t>
      </w:r>
      <w:proofErr w:type="spellStart"/>
      <w:r w:rsidR="0078378A">
        <w:t>Koorliny</w:t>
      </w:r>
      <w:proofErr w:type="spellEnd"/>
      <w:r w:rsidR="0078378A">
        <w:t xml:space="preserve"> </w:t>
      </w:r>
      <w:proofErr w:type="spellStart"/>
      <w:r w:rsidR="0078378A">
        <w:t>Kaattijin’s</w:t>
      </w:r>
      <w:proofErr w:type="spellEnd"/>
      <w:r>
        <w:t xml:space="preserve"> IT Resources provided through vulnerability management.</w:t>
      </w:r>
    </w:p>
    <w:p w14:paraId="07B47805" w14:textId="77777777" w:rsidR="000926F8" w:rsidRDefault="000926F8" w:rsidP="0078378A">
      <w:pPr>
        <w:pStyle w:val="Head-1"/>
      </w:pPr>
      <w:r>
        <w:t>Scope</w:t>
      </w:r>
    </w:p>
    <w:p w14:paraId="33382C29" w14:textId="77777777" w:rsidR="0078378A" w:rsidRDefault="0078378A" w:rsidP="0078378A">
      <w:r>
        <w:t xml:space="preserve">This IT policy, and all policies referenced herein, shall apply to all staff of the organisation, client and other stakeholders, authorized guests, and independent contractors (the “User(s)” or “you”) who use, access, or otherwise employ, locally or remotely, </w:t>
      </w:r>
      <w:proofErr w:type="spellStart"/>
      <w:r>
        <w:t>Koorliny</w:t>
      </w:r>
      <w:proofErr w:type="spellEnd"/>
      <w:r>
        <w:t xml:space="preserve"> </w:t>
      </w:r>
      <w:proofErr w:type="spellStart"/>
      <w:r>
        <w:t>Kaattijin</w:t>
      </w:r>
      <w:proofErr w:type="spellEnd"/>
      <w:r>
        <w:t xml:space="preserve"> IT Resources, whether individually controlled, shared, stand-alone, or networked.</w:t>
      </w:r>
    </w:p>
    <w:p w14:paraId="1B5842C4" w14:textId="77777777" w:rsidR="000926F8" w:rsidRDefault="000926F8" w:rsidP="0078378A">
      <w:pPr>
        <w:pStyle w:val="Head-1"/>
      </w:pPr>
      <w:r>
        <w:t>Policy Statement</w:t>
      </w:r>
    </w:p>
    <w:p w14:paraId="2406190B" w14:textId="3EFB9713" w:rsidR="000926F8" w:rsidRPr="0078378A" w:rsidRDefault="000926F8" w:rsidP="0078378A">
      <w:pPr>
        <w:pStyle w:val="ListParagraph"/>
        <w:numPr>
          <w:ilvl w:val="0"/>
          <w:numId w:val="9"/>
        </w:numPr>
        <w:ind w:left="993" w:hanging="426"/>
        <w:rPr>
          <w:rFonts w:ascii="Arial" w:hAnsi="Arial" w:cs="Arial"/>
          <w:sz w:val="25"/>
          <w:szCs w:val="25"/>
        </w:rPr>
      </w:pPr>
      <w:r w:rsidRPr="0078378A">
        <w:rPr>
          <w:rFonts w:ascii="Arial" w:hAnsi="Arial" w:cs="Arial"/>
          <w:sz w:val="25"/>
          <w:szCs w:val="25"/>
        </w:rPr>
        <w:t>All patches or configuration changes must be deployed to</w:t>
      </w:r>
      <w:r w:rsidR="0078378A" w:rsidRPr="0078378A">
        <w:t xml:space="preserve"> </w:t>
      </w:r>
      <w:proofErr w:type="spellStart"/>
      <w:r w:rsidR="0078378A" w:rsidRPr="0078378A">
        <w:rPr>
          <w:rFonts w:ascii="Arial" w:hAnsi="Arial" w:cs="Arial"/>
          <w:sz w:val="25"/>
          <w:szCs w:val="25"/>
        </w:rPr>
        <w:t>Koorliny</w:t>
      </w:r>
      <w:proofErr w:type="spellEnd"/>
      <w:r w:rsidR="0078378A" w:rsidRPr="0078378A">
        <w:rPr>
          <w:rFonts w:ascii="Arial" w:hAnsi="Arial" w:cs="Arial"/>
          <w:sz w:val="25"/>
          <w:szCs w:val="25"/>
        </w:rPr>
        <w:t xml:space="preserve"> </w:t>
      </w:r>
      <w:proofErr w:type="spellStart"/>
      <w:r w:rsidR="0078378A" w:rsidRPr="0078378A">
        <w:rPr>
          <w:rFonts w:ascii="Arial" w:hAnsi="Arial" w:cs="Arial"/>
          <w:sz w:val="25"/>
          <w:szCs w:val="25"/>
        </w:rPr>
        <w:t>Kaattijin</w:t>
      </w:r>
      <w:proofErr w:type="spellEnd"/>
      <w:r w:rsidR="0078378A">
        <w:t xml:space="preserve"> </w:t>
      </w:r>
      <w:r w:rsidRPr="0078378A">
        <w:rPr>
          <w:rFonts w:ascii="Arial" w:hAnsi="Arial" w:cs="Arial"/>
          <w:sz w:val="25"/>
          <w:szCs w:val="25"/>
        </w:rPr>
        <w:t xml:space="preserve">-owned or managed IT Resources per the timeframe stated in the Vulnerability Management Procedure. </w:t>
      </w:r>
    </w:p>
    <w:p w14:paraId="18FB8B8C" w14:textId="77777777" w:rsidR="000926F8" w:rsidRPr="0078378A" w:rsidRDefault="000926F8" w:rsidP="0078378A">
      <w:pPr>
        <w:pStyle w:val="ListParagraph"/>
        <w:numPr>
          <w:ilvl w:val="0"/>
          <w:numId w:val="9"/>
        </w:numPr>
        <w:ind w:left="993" w:hanging="426"/>
        <w:rPr>
          <w:rFonts w:ascii="Arial" w:hAnsi="Arial" w:cs="Arial"/>
          <w:sz w:val="25"/>
          <w:szCs w:val="25"/>
        </w:rPr>
      </w:pPr>
      <w:r w:rsidRPr="0078378A">
        <w:rPr>
          <w:rFonts w:ascii="Arial" w:hAnsi="Arial" w:cs="Arial"/>
          <w:sz w:val="25"/>
          <w:szCs w:val="25"/>
        </w:rPr>
        <w:t xml:space="preserve">Information Security and Assurance (ISA) provides approved standard tools and methodologies for vulnerability assessments. </w:t>
      </w:r>
    </w:p>
    <w:p w14:paraId="05253774" w14:textId="77777777" w:rsidR="000926F8" w:rsidRPr="0078378A" w:rsidRDefault="000926F8" w:rsidP="0078378A">
      <w:pPr>
        <w:pStyle w:val="ListParagraph"/>
        <w:numPr>
          <w:ilvl w:val="0"/>
          <w:numId w:val="9"/>
        </w:numPr>
        <w:ind w:left="993" w:hanging="426"/>
        <w:rPr>
          <w:rFonts w:ascii="Arial" w:hAnsi="Arial" w:cs="Arial"/>
          <w:sz w:val="25"/>
          <w:szCs w:val="25"/>
        </w:rPr>
      </w:pPr>
      <w:r w:rsidRPr="0078378A">
        <w:rPr>
          <w:rFonts w:ascii="Arial" w:hAnsi="Arial" w:cs="Arial"/>
          <w:sz w:val="25"/>
          <w:szCs w:val="25"/>
        </w:rPr>
        <w:t xml:space="preserve">All IT Resources must be part of a patch management cycle as defined in Patch Management Policy. </w:t>
      </w:r>
    </w:p>
    <w:p w14:paraId="7FCD1C74" w14:textId="77777777" w:rsidR="000926F8" w:rsidRPr="0078378A" w:rsidRDefault="000926F8" w:rsidP="0078378A">
      <w:pPr>
        <w:pStyle w:val="ListParagraph"/>
        <w:numPr>
          <w:ilvl w:val="0"/>
          <w:numId w:val="9"/>
        </w:numPr>
        <w:ind w:left="993" w:hanging="426"/>
        <w:rPr>
          <w:rFonts w:ascii="Arial" w:hAnsi="Arial" w:cs="Arial"/>
          <w:sz w:val="25"/>
          <w:szCs w:val="25"/>
        </w:rPr>
      </w:pPr>
      <w:r w:rsidRPr="0078378A">
        <w:rPr>
          <w:rFonts w:ascii="Arial" w:hAnsi="Arial" w:cs="Arial"/>
          <w:sz w:val="25"/>
          <w:szCs w:val="25"/>
        </w:rPr>
        <w:t xml:space="preserve">Application and system owners are responsible for the assessment and remediation of IT Resources under their management or supervision. </w:t>
      </w:r>
    </w:p>
    <w:p w14:paraId="7AC97AA2" w14:textId="77777777" w:rsidR="000926F8" w:rsidRPr="0078378A" w:rsidRDefault="000926F8" w:rsidP="0078378A">
      <w:pPr>
        <w:pStyle w:val="ListParagraph"/>
        <w:numPr>
          <w:ilvl w:val="0"/>
          <w:numId w:val="9"/>
        </w:numPr>
        <w:ind w:left="993" w:hanging="426"/>
        <w:rPr>
          <w:rFonts w:ascii="Arial" w:hAnsi="Arial" w:cs="Arial"/>
          <w:sz w:val="25"/>
          <w:szCs w:val="25"/>
        </w:rPr>
      </w:pPr>
      <w:r w:rsidRPr="0078378A">
        <w:rPr>
          <w:rFonts w:ascii="Arial" w:hAnsi="Arial" w:cs="Arial"/>
          <w:sz w:val="25"/>
          <w:szCs w:val="25"/>
        </w:rPr>
        <w:t xml:space="preserve">If a solution or remediation is not available to address a vulnerability, the ISA must approve any compensating or other mitigating controls. </w:t>
      </w:r>
    </w:p>
    <w:p w14:paraId="1E7299A8" w14:textId="77777777" w:rsidR="000926F8" w:rsidRPr="0078378A" w:rsidRDefault="000926F8" w:rsidP="0078378A">
      <w:pPr>
        <w:pStyle w:val="ListParagraph"/>
        <w:numPr>
          <w:ilvl w:val="0"/>
          <w:numId w:val="9"/>
        </w:numPr>
        <w:ind w:left="993" w:hanging="426"/>
        <w:rPr>
          <w:rFonts w:ascii="Arial" w:hAnsi="Arial" w:cs="Arial"/>
          <w:sz w:val="25"/>
          <w:szCs w:val="25"/>
        </w:rPr>
      </w:pPr>
      <w:r w:rsidRPr="0078378A">
        <w:rPr>
          <w:rFonts w:ascii="Arial" w:hAnsi="Arial" w:cs="Arial"/>
          <w:sz w:val="25"/>
          <w:szCs w:val="25"/>
        </w:rPr>
        <w:t xml:space="preserve">Application and system owners must have a written and auditable procedure addressing remediation steps. </w:t>
      </w:r>
    </w:p>
    <w:p w14:paraId="2D7D7ECD" w14:textId="77777777" w:rsidR="000926F8" w:rsidRDefault="000926F8" w:rsidP="0078378A">
      <w:pPr>
        <w:pStyle w:val="Head-1"/>
      </w:pPr>
      <w:r>
        <w:t>Definitions</w:t>
      </w:r>
    </w:p>
    <w:p w14:paraId="42763DDD" w14:textId="77777777" w:rsidR="000926F8" w:rsidRDefault="000926F8" w:rsidP="000926F8">
      <w:r w:rsidRPr="0078378A">
        <w:rPr>
          <w:b/>
          <w:bCs/>
        </w:rPr>
        <w:t>Compensating control</w:t>
      </w:r>
      <w:r>
        <w:t xml:space="preserve"> is a data security measure that is designed to satisfy the requirement or some other security measure that is deemed too difficult or impractical to implement.</w:t>
      </w:r>
    </w:p>
    <w:p w14:paraId="24D0D11B" w14:textId="77777777" w:rsidR="0078378A" w:rsidRDefault="0078378A" w:rsidP="000926F8"/>
    <w:p w14:paraId="4D301463" w14:textId="77777777" w:rsidR="000926F8" w:rsidRDefault="000926F8" w:rsidP="000926F8"/>
    <w:p w14:paraId="488AF048" w14:textId="77777777" w:rsidR="000926F8" w:rsidRDefault="000926F8" w:rsidP="000926F8">
      <w:r w:rsidRPr="0078378A">
        <w:rPr>
          <w:b/>
          <w:bCs/>
        </w:rPr>
        <w:t>IT Resources</w:t>
      </w:r>
      <w:r>
        <w:t xml:space="preserve"> include computing, networking, communications, application, and telecommunications systems, infrastructure, hardware, software, data, databases, personnel, procedures, physical facilities, cloud-based vendors, Software as a Service (SaaS) vendors, and any related materials and services.</w:t>
      </w:r>
    </w:p>
    <w:p w14:paraId="0EB19EC2" w14:textId="77777777" w:rsidR="000926F8" w:rsidRDefault="000926F8" w:rsidP="000926F8">
      <w:r w:rsidRPr="0078378A">
        <w:rPr>
          <w:b/>
          <w:bCs/>
        </w:rPr>
        <w:t>A patch</w:t>
      </w:r>
      <w:r>
        <w:t xml:space="preserve"> is a software update comprised code inserted (i.e., patched) into the code of an executable program. Typically, a patch is installed into an existing software program. Patches are often temporary fixes between full releases of a software package. Patches include, but are not limited to the following:</w:t>
      </w:r>
    </w:p>
    <w:p w14:paraId="3B15B189" w14:textId="77777777" w:rsidR="000926F8" w:rsidRPr="0078378A" w:rsidRDefault="000926F8" w:rsidP="0078378A">
      <w:pPr>
        <w:pStyle w:val="ListParagraph"/>
        <w:numPr>
          <w:ilvl w:val="0"/>
          <w:numId w:val="10"/>
        </w:numPr>
        <w:rPr>
          <w:rFonts w:ascii="Arial" w:hAnsi="Arial" w:cs="Arial"/>
          <w:sz w:val="25"/>
          <w:szCs w:val="25"/>
        </w:rPr>
      </w:pPr>
      <w:r w:rsidRPr="0078378A">
        <w:rPr>
          <w:rFonts w:ascii="Arial" w:hAnsi="Arial" w:cs="Arial"/>
          <w:sz w:val="25"/>
          <w:szCs w:val="25"/>
        </w:rPr>
        <w:t>Upgrading software</w:t>
      </w:r>
    </w:p>
    <w:p w14:paraId="4A48AA1D" w14:textId="77777777" w:rsidR="000926F8" w:rsidRPr="0078378A" w:rsidRDefault="000926F8" w:rsidP="0078378A">
      <w:pPr>
        <w:pStyle w:val="ListParagraph"/>
        <w:numPr>
          <w:ilvl w:val="0"/>
          <w:numId w:val="10"/>
        </w:numPr>
        <w:rPr>
          <w:rFonts w:ascii="Arial" w:hAnsi="Arial" w:cs="Arial"/>
          <w:sz w:val="25"/>
          <w:szCs w:val="25"/>
        </w:rPr>
      </w:pPr>
      <w:r w:rsidRPr="0078378A">
        <w:rPr>
          <w:rFonts w:ascii="Arial" w:hAnsi="Arial" w:cs="Arial"/>
          <w:sz w:val="25"/>
          <w:szCs w:val="25"/>
        </w:rPr>
        <w:t>Fixing a software bug</w:t>
      </w:r>
    </w:p>
    <w:p w14:paraId="60B2F01A" w14:textId="77777777" w:rsidR="000926F8" w:rsidRPr="0078378A" w:rsidRDefault="000926F8" w:rsidP="0078378A">
      <w:pPr>
        <w:pStyle w:val="ListParagraph"/>
        <w:numPr>
          <w:ilvl w:val="0"/>
          <w:numId w:val="10"/>
        </w:numPr>
        <w:rPr>
          <w:rFonts w:ascii="Arial" w:hAnsi="Arial" w:cs="Arial"/>
          <w:sz w:val="25"/>
          <w:szCs w:val="25"/>
        </w:rPr>
      </w:pPr>
      <w:r w:rsidRPr="0078378A">
        <w:rPr>
          <w:rFonts w:ascii="Arial" w:hAnsi="Arial" w:cs="Arial"/>
          <w:sz w:val="25"/>
          <w:szCs w:val="25"/>
        </w:rPr>
        <w:t>Installing new drivers</w:t>
      </w:r>
    </w:p>
    <w:p w14:paraId="4BB1FFEB" w14:textId="77777777" w:rsidR="000926F8" w:rsidRPr="0078378A" w:rsidRDefault="000926F8" w:rsidP="0078378A">
      <w:pPr>
        <w:pStyle w:val="ListParagraph"/>
        <w:numPr>
          <w:ilvl w:val="0"/>
          <w:numId w:val="10"/>
        </w:numPr>
        <w:rPr>
          <w:rFonts w:ascii="Arial" w:hAnsi="Arial" w:cs="Arial"/>
          <w:sz w:val="25"/>
          <w:szCs w:val="25"/>
        </w:rPr>
      </w:pPr>
      <w:r w:rsidRPr="0078378A">
        <w:rPr>
          <w:rFonts w:ascii="Arial" w:hAnsi="Arial" w:cs="Arial"/>
          <w:sz w:val="25"/>
          <w:szCs w:val="25"/>
        </w:rPr>
        <w:t>Addressing new security vulnerabilities</w:t>
      </w:r>
    </w:p>
    <w:p w14:paraId="06B3B87C" w14:textId="77777777" w:rsidR="000926F8" w:rsidRPr="0078378A" w:rsidRDefault="000926F8" w:rsidP="0078378A">
      <w:pPr>
        <w:pStyle w:val="ListParagraph"/>
        <w:numPr>
          <w:ilvl w:val="0"/>
          <w:numId w:val="10"/>
        </w:numPr>
        <w:rPr>
          <w:rFonts w:ascii="Arial" w:hAnsi="Arial" w:cs="Arial"/>
          <w:sz w:val="25"/>
          <w:szCs w:val="25"/>
        </w:rPr>
      </w:pPr>
      <w:r w:rsidRPr="0078378A">
        <w:rPr>
          <w:rFonts w:ascii="Arial" w:hAnsi="Arial" w:cs="Arial"/>
          <w:sz w:val="25"/>
          <w:szCs w:val="25"/>
        </w:rPr>
        <w:t>Addressing software stability issues</w:t>
      </w:r>
    </w:p>
    <w:p w14:paraId="37B925EB" w14:textId="77777777" w:rsidR="000926F8" w:rsidRDefault="000926F8" w:rsidP="000926F8">
      <w:r w:rsidRPr="0078378A">
        <w:rPr>
          <w:b/>
          <w:bCs/>
        </w:rPr>
        <w:t>Patch management cycle</w:t>
      </w:r>
      <w:r>
        <w:t xml:space="preserve"> is a part of lifecycle management and is the process of using a strategy and plan of what patches should be applied to which systems at a specified time. Patch management occurs regularly as per the Patch Management Procedure.</w:t>
      </w:r>
    </w:p>
    <w:p w14:paraId="28F9CC37" w14:textId="77777777" w:rsidR="000926F8" w:rsidRDefault="000926F8" w:rsidP="000926F8">
      <w:r w:rsidRPr="0078378A">
        <w:rPr>
          <w:b/>
          <w:bCs/>
        </w:rPr>
        <w:t>Remediation</w:t>
      </w:r>
      <w:r>
        <w:t xml:space="preserve"> is an effort that resolves or mitigates a discovered vulnerability.</w:t>
      </w:r>
    </w:p>
    <w:p w14:paraId="5B8A58AA" w14:textId="77777777" w:rsidR="000926F8" w:rsidRDefault="000926F8" w:rsidP="000926F8">
      <w:r w:rsidRPr="0078378A">
        <w:rPr>
          <w:b/>
          <w:bCs/>
        </w:rPr>
        <w:t>Vulnerability management</w:t>
      </w:r>
      <w:r>
        <w:t xml:space="preserve"> is the practice of identifying, classifying, remediating, and mitigating vulnerabilities.</w:t>
      </w:r>
    </w:p>
    <w:p w14:paraId="52C82074" w14:textId="77777777" w:rsidR="000926F8" w:rsidRDefault="000926F8" w:rsidP="0078378A">
      <w:pPr>
        <w:pStyle w:val="Head-1"/>
      </w:pPr>
      <w:r>
        <w:t>Related Policies and Procedures</w:t>
      </w:r>
    </w:p>
    <w:p w14:paraId="1171DC3E" w14:textId="243A24A6" w:rsidR="000926F8" w:rsidRDefault="0078378A" w:rsidP="000926F8">
      <w:r>
        <w:t>Web Application Security Policy</w:t>
      </w:r>
    </w:p>
    <w:p w14:paraId="522B9E8F" w14:textId="77777777" w:rsidR="000926F8" w:rsidRDefault="000926F8" w:rsidP="0078378A">
      <w:pPr>
        <w:pStyle w:val="Head-1"/>
      </w:pPr>
      <w:r>
        <w:t>Revision History</w:t>
      </w:r>
    </w:p>
    <w:tbl>
      <w:tblPr>
        <w:tblStyle w:val="TableGrid"/>
        <w:tblW w:w="0" w:type="auto"/>
        <w:tblLook w:val="04A0" w:firstRow="1" w:lastRow="0" w:firstColumn="1" w:lastColumn="0" w:noHBand="0" w:noVBand="1"/>
      </w:tblPr>
      <w:tblGrid>
        <w:gridCol w:w="3134"/>
        <w:gridCol w:w="3134"/>
        <w:gridCol w:w="3134"/>
      </w:tblGrid>
      <w:tr w:rsidR="0078378A" w14:paraId="3A181F3B" w14:textId="77777777" w:rsidTr="0078378A">
        <w:tc>
          <w:tcPr>
            <w:tcW w:w="3134" w:type="dxa"/>
          </w:tcPr>
          <w:p w14:paraId="4492333C" w14:textId="786566D3" w:rsidR="0078378A" w:rsidRDefault="0078378A" w:rsidP="000926F8">
            <w:r>
              <w:t>Version</w:t>
            </w:r>
          </w:p>
        </w:tc>
        <w:tc>
          <w:tcPr>
            <w:tcW w:w="3134" w:type="dxa"/>
          </w:tcPr>
          <w:p w14:paraId="37C4606F" w14:textId="6BDEEB5D" w:rsidR="0078378A" w:rsidRDefault="0078378A" w:rsidP="000926F8">
            <w:r>
              <w:t>Date</w:t>
            </w:r>
          </w:p>
        </w:tc>
        <w:tc>
          <w:tcPr>
            <w:tcW w:w="3134" w:type="dxa"/>
          </w:tcPr>
          <w:p w14:paraId="03B461C9" w14:textId="264994D8" w:rsidR="0078378A" w:rsidRDefault="0078378A" w:rsidP="000926F8">
            <w:r>
              <w:t>Description</w:t>
            </w:r>
          </w:p>
        </w:tc>
      </w:tr>
      <w:tr w:rsidR="0078378A" w14:paraId="4385B9DF" w14:textId="77777777" w:rsidTr="0078378A">
        <w:tc>
          <w:tcPr>
            <w:tcW w:w="3134" w:type="dxa"/>
          </w:tcPr>
          <w:p w14:paraId="4A72F1A6" w14:textId="4D6CDCFE" w:rsidR="0078378A" w:rsidRDefault="0078378A" w:rsidP="000926F8">
            <w:r>
              <w:t>1.0</w:t>
            </w:r>
          </w:p>
        </w:tc>
        <w:tc>
          <w:tcPr>
            <w:tcW w:w="3134" w:type="dxa"/>
          </w:tcPr>
          <w:p w14:paraId="36AD57A1" w14:textId="68F239F6" w:rsidR="0078378A" w:rsidRDefault="0078378A" w:rsidP="000926F8">
            <w:r>
              <w:t>01/23/2017</w:t>
            </w:r>
          </w:p>
        </w:tc>
        <w:tc>
          <w:tcPr>
            <w:tcW w:w="3134" w:type="dxa"/>
          </w:tcPr>
          <w:p w14:paraId="33078BAA" w14:textId="1B51EEB0" w:rsidR="0078378A" w:rsidRDefault="0078378A" w:rsidP="000926F8">
            <w:r>
              <w:t>Initial policy</w:t>
            </w:r>
          </w:p>
        </w:tc>
      </w:tr>
      <w:tr w:rsidR="0078378A" w14:paraId="049E0CB7" w14:textId="77777777" w:rsidTr="0078378A">
        <w:tc>
          <w:tcPr>
            <w:tcW w:w="3134" w:type="dxa"/>
          </w:tcPr>
          <w:p w14:paraId="7C3873EE" w14:textId="085704AD" w:rsidR="0078378A" w:rsidRDefault="0078378A" w:rsidP="000926F8">
            <w:r>
              <w:t>1.1</w:t>
            </w:r>
          </w:p>
        </w:tc>
        <w:tc>
          <w:tcPr>
            <w:tcW w:w="3134" w:type="dxa"/>
          </w:tcPr>
          <w:p w14:paraId="1CC45C16" w14:textId="5D03AC9E" w:rsidR="0078378A" w:rsidRDefault="0078378A" w:rsidP="000926F8">
            <w:r>
              <w:t>03/25/2019</w:t>
            </w:r>
          </w:p>
        </w:tc>
        <w:tc>
          <w:tcPr>
            <w:tcW w:w="3134" w:type="dxa"/>
          </w:tcPr>
          <w:p w14:paraId="340D7DC0" w14:textId="314934E9" w:rsidR="0078378A" w:rsidRDefault="0078378A" w:rsidP="000926F8">
            <w:r>
              <w:t>Updated policy statement</w:t>
            </w:r>
          </w:p>
        </w:tc>
      </w:tr>
      <w:tr w:rsidR="0078378A" w14:paraId="6DBC5844" w14:textId="77777777" w:rsidTr="0078378A">
        <w:tc>
          <w:tcPr>
            <w:tcW w:w="3134" w:type="dxa"/>
          </w:tcPr>
          <w:p w14:paraId="3E5A736A" w14:textId="77777777" w:rsidR="0078378A" w:rsidRDefault="0078378A" w:rsidP="000926F8"/>
        </w:tc>
        <w:tc>
          <w:tcPr>
            <w:tcW w:w="3134" w:type="dxa"/>
          </w:tcPr>
          <w:p w14:paraId="2F0A866C" w14:textId="722A0CFF" w:rsidR="0078378A" w:rsidRDefault="0078378A" w:rsidP="000926F8">
            <w:r>
              <w:t>05/08/2020</w:t>
            </w:r>
          </w:p>
        </w:tc>
        <w:tc>
          <w:tcPr>
            <w:tcW w:w="3134" w:type="dxa"/>
          </w:tcPr>
          <w:p w14:paraId="41D399B4" w14:textId="080B8DBF" w:rsidR="0078378A" w:rsidRDefault="0078378A" w:rsidP="000926F8">
            <w:r>
              <w:t>Periodic Review</w:t>
            </w:r>
          </w:p>
        </w:tc>
      </w:tr>
      <w:tr w:rsidR="0078378A" w14:paraId="1C6B3C09" w14:textId="77777777" w:rsidTr="0078378A">
        <w:tc>
          <w:tcPr>
            <w:tcW w:w="3134" w:type="dxa"/>
          </w:tcPr>
          <w:p w14:paraId="6D932CA6" w14:textId="484EA698" w:rsidR="0078378A" w:rsidRDefault="0078378A" w:rsidP="000926F8">
            <w:r>
              <w:t>1.2</w:t>
            </w:r>
          </w:p>
        </w:tc>
        <w:tc>
          <w:tcPr>
            <w:tcW w:w="3134" w:type="dxa"/>
          </w:tcPr>
          <w:p w14:paraId="4224D790" w14:textId="5248F000" w:rsidR="0078378A" w:rsidRDefault="0078378A" w:rsidP="000926F8">
            <w:r>
              <w:t>07/27/2021</w:t>
            </w:r>
          </w:p>
        </w:tc>
        <w:tc>
          <w:tcPr>
            <w:tcW w:w="3134" w:type="dxa"/>
          </w:tcPr>
          <w:p w14:paraId="1A6E8183" w14:textId="30032A2B" w:rsidR="0078378A" w:rsidRDefault="0078378A" w:rsidP="000926F8">
            <w:r>
              <w:t>Periodic Review</w:t>
            </w:r>
          </w:p>
        </w:tc>
      </w:tr>
    </w:tbl>
    <w:p w14:paraId="3180030C" w14:textId="6C1D7D55" w:rsidR="000926F8" w:rsidRDefault="0078378A" w:rsidP="0078378A">
      <w:pPr>
        <w:pStyle w:val="Head-1"/>
      </w:pPr>
      <w:r>
        <w:t>P</w:t>
      </w:r>
      <w:r w:rsidR="000926F8">
        <w:t>olicy Disclaimer Statement</w:t>
      </w:r>
    </w:p>
    <w:p w14:paraId="527CC84E" w14:textId="4B2FE603" w:rsidR="00A1606A" w:rsidRPr="000926F8" w:rsidRDefault="000926F8" w:rsidP="000926F8">
      <w:r>
        <w:t xml:space="preserve">Deviations from policies, procedures, or guidelines published and approved by Information Security and Assurance (ISA) may only be done cooperatively between ISA and the requesting entity with sufficient time to allow for appropriate risk analysis, documentation, and possible presentation to </w:t>
      </w:r>
      <w:r w:rsidR="009E791A">
        <w:t>authorities.</w:t>
      </w:r>
    </w:p>
    <w:sectPr w:rsidR="00A1606A" w:rsidRPr="000926F8" w:rsidSect="003F0B77">
      <w:headerReference w:type="even" r:id="rId11"/>
      <w:headerReference w:type="default" r:id="rId12"/>
      <w:footerReference w:type="default" r:id="rId13"/>
      <w:headerReference w:type="first" r:id="rId14"/>
      <w:footerReference w:type="first" r:id="rId15"/>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2447" w14:textId="77777777" w:rsidR="008251CE" w:rsidRDefault="008251CE" w:rsidP="00173068">
      <w:r>
        <w:separator/>
      </w:r>
    </w:p>
  </w:endnote>
  <w:endnote w:type="continuationSeparator" w:id="0">
    <w:p w14:paraId="2A74A259" w14:textId="77777777" w:rsidR="008251CE" w:rsidRDefault="008251CE" w:rsidP="00173068">
      <w:r>
        <w:continuationSeparator/>
      </w:r>
    </w:p>
  </w:endnote>
  <w:endnote w:type="continuationNotice" w:id="1">
    <w:p w14:paraId="24969AA9" w14:textId="77777777" w:rsidR="008251CE" w:rsidRDefault="008251CE"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01E9DE7F" w:rsidR="004B0534" w:rsidRPr="00CA31A9" w:rsidRDefault="00CA31A9" w:rsidP="00173068">
    <w:pPr>
      <w:pStyle w:val="Footer"/>
      <w:rPr>
        <w:noProof/>
      </w:rPr>
    </w:pPr>
    <w:r w:rsidRPr="004F5DF5">
      <w:t>Issue date:</w:t>
    </w:r>
    <w:r>
      <w:t xml:space="preserve"> J</w:t>
    </w:r>
    <w:r w:rsidR="0078378A">
      <w:t>uly</w:t>
    </w:r>
    <w:r>
      <w:t xml:space="preserve"> 202</w:t>
    </w:r>
    <w:r w:rsidR="0078378A">
      <w:t>1</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596687E"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55A6" w14:textId="77777777" w:rsidR="008251CE" w:rsidRDefault="008251CE" w:rsidP="00173068">
      <w:r>
        <w:separator/>
      </w:r>
    </w:p>
  </w:footnote>
  <w:footnote w:type="continuationSeparator" w:id="0">
    <w:p w14:paraId="1CEA9DD6" w14:textId="77777777" w:rsidR="008251CE" w:rsidRDefault="008251CE" w:rsidP="00173068">
      <w:r>
        <w:continuationSeparator/>
      </w:r>
    </w:p>
  </w:footnote>
  <w:footnote w:type="continuationNotice" w:id="1">
    <w:p w14:paraId="313B77E6" w14:textId="77777777" w:rsidR="008251CE" w:rsidRDefault="008251CE"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66739EA7" w:rsidR="003F0B77" w:rsidRDefault="003F0B77" w:rsidP="0078378A">
    <w:pPr>
      <w:pStyle w:val="Header"/>
      <w:ind w:left="-1247"/>
    </w:pPr>
    <w:r>
      <w:rPr>
        <w:noProof/>
      </w:rPr>
      <w:drawing>
        <wp:inline distT="0" distB="0" distL="0" distR="0" wp14:anchorId="266BE286" wp14:editId="7C9A49F3">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3C44CC"/>
    <w:multiLevelType w:val="hybridMultilevel"/>
    <w:tmpl w:val="FCC602B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C4829F9"/>
    <w:multiLevelType w:val="hybridMultilevel"/>
    <w:tmpl w:val="CD585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6"/>
  </w:num>
  <w:num w:numId="3" w16cid:durableId="1315835028">
    <w:abstractNumId w:val="9"/>
  </w:num>
  <w:num w:numId="4" w16cid:durableId="258022624">
    <w:abstractNumId w:val="8"/>
  </w:num>
  <w:num w:numId="5" w16cid:durableId="1427338159">
    <w:abstractNumId w:val="7"/>
  </w:num>
  <w:num w:numId="6" w16cid:durableId="690952195">
    <w:abstractNumId w:val="4"/>
  </w:num>
  <w:num w:numId="7" w16cid:durableId="141167397">
    <w:abstractNumId w:val="5"/>
  </w:num>
  <w:num w:numId="8" w16cid:durableId="2016104735">
    <w:abstractNumId w:val="3"/>
  </w:num>
  <w:num w:numId="9" w16cid:durableId="214317710">
    <w:abstractNumId w:val="1"/>
  </w:num>
  <w:num w:numId="10" w16cid:durableId="348408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926F8"/>
    <w:rsid w:val="000A0192"/>
    <w:rsid w:val="000A23AD"/>
    <w:rsid w:val="000B529A"/>
    <w:rsid w:val="000D3DD9"/>
    <w:rsid w:val="00173068"/>
    <w:rsid w:val="00195EC1"/>
    <w:rsid w:val="001A25C5"/>
    <w:rsid w:val="001A61A3"/>
    <w:rsid w:val="00226BB7"/>
    <w:rsid w:val="002301FE"/>
    <w:rsid w:val="00267E2E"/>
    <w:rsid w:val="0029542A"/>
    <w:rsid w:val="002A2B97"/>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41432"/>
    <w:rsid w:val="0054419B"/>
    <w:rsid w:val="00550671"/>
    <w:rsid w:val="005B56CB"/>
    <w:rsid w:val="005C0DBB"/>
    <w:rsid w:val="005E5514"/>
    <w:rsid w:val="005F429A"/>
    <w:rsid w:val="005F7E57"/>
    <w:rsid w:val="00636457"/>
    <w:rsid w:val="00656C07"/>
    <w:rsid w:val="006C18CD"/>
    <w:rsid w:val="006C6B5D"/>
    <w:rsid w:val="006D7E63"/>
    <w:rsid w:val="006E4A95"/>
    <w:rsid w:val="006F5D13"/>
    <w:rsid w:val="00714B25"/>
    <w:rsid w:val="00757A16"/>
    <w:rsid w:val="0078378A"/>
    <w:rsid w:val="007D047D"/>
    <w:rsid w:val="00804D33"/>
    <w:rsid w:val="008251CE"/>
    <w:rsid w:val="00836B81"/>
    <w:rsid w:val="008452BE"/>
    <w:rsid w:val="008A05F8"/>
    <w:rsid w:val="008C0AEF"/>
    <w:rsid w:val="00913C8E"/>
    <w:rsid w:val="0095150B"/>
    <w:rsid w:val="009E791A"/>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B0A08"/>
    <w:rsid w:val="00E3472E"/>
    <w:rsid w:val="00E3727B"/>
    <w:rsid w:val="00E9439D"/>
    <w:rsid w:val="00E97B27"/>
    <w:rsid w:val="00E97FC4"/>
    <w:rsid w:val="00EB2D84"/>
    <w:rsid w:val="00ED66D4"/>
    <w:rsid w:val="00F160E7"/>
    <w:rsid w:val="00F176DF"/>
    <w:rsid w:val="00F72CCB"/>
    <w:rsid w:val="00F8533E"/>
    <w:rsid w:val="00F85C01"/>
    <w:rsid w:val="00F95CA6"/>
    <w:rsid w:val="00FC0F23"/>
    <w:rsid w:val="00FC3679"/>
    <w:rsid w:val="00FE0827"/>
    <w:rsid w:val="00FF2EDB"/>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3AD3CAEB-66A1-4D3B-B2E6-77CF998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78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2.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01BD92-E765-40EC-A23B-CE8BDFCE1837}">
  <ds:schemaRefs>
    <ds:schemaRef ds:uri="http://schemas.microsoft.com/sharepoint/v3/contenttype/forms"/>
  </ds:schemaRefs>
</ds:datastoreItem>
</file>

<file path=customXml/itemProps4.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Salay</dc:creator>
  <cp:lastModifiedBy>Pat Salay</cp:lastModifiedBy>
  <cp:revision>5</cp:revision>
  <dcterms:created xsi:type="dcterms:W3CDTF">2023-05-30T04:13:00Z</dcterms:created>
  <dcterms:modified xsi:type="dcterms:W3CDTF">2023-05-30T05:33:00Z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