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41EA" w14:textId="77777777" w:rsidR="00D85A76" w:rsidRDefault="00D85A76" w:rsidP="00D85A76">
      <w:pPr>
        <w:pStyle w:val="Head-1"/>
      </w:pPr>
      <w:r>
        <w:t>Web Application Security Policy</w:t>
      </w:r>
    </w:p>
    <w:p w14:paraId="1CEA92A4" w14:textId="77777777" w:rsidR="00D85A76" w:rsidRDefault="00D85A76" w:rsidP="00D85A76">
      <w:r>
        <w:t>Version 1.0</w:t>
      </w:r>
    </w:p>
    <w:p w14:paraId="4FC6FB82" w14:textId="77777777" w:rsidR="00D85A76" w:rsidRDefault="00D85A76" w:rsidP="00D85A76"/>
    <w:p w14:paraId="1FAB881D" w14:textId="77777777" w:rsidR="00D85A76" w:rsidRDefault="00D85A76" w:rsidP="00D85A76">
      <w:pPr>
        <w:pStyle w:val="Head-1"/>
      </w:pPr>
      <w:r>
        <w:t>Purpose</w:t>
      </w:r>
    </w:p>
    <w:p w14:paraId="12918ADE" w14:textId="18813CEE" w:rsidR="00D85A76" w:rsidRDefault="00D85A76" w:rsidP="00D85A76">
      <w:r>
        <w:t xml:space="preserve">The purpose of this policy is to enforce that web applications maintain the security posture, compliance, risk management, and change control of </w:t>
      </w:r>
      <w:r>
        <w:t>Koorliny Kaattijin</w:t>
      </w:r>
      <w:r>
        <w:t xml:space="preserve"> Resources.</w:t>
      </w:r>
    </w:p>
    <w:p w14:paraId="4BD002E2" w14:textId="77777777" w:rsidR="00D85A76" w:rsidRDefault="00D85A76" w:rsidP="00D85A76">
      <w:pPr>
        <w:pStyle w:val="Head-1"/>
      </w:pPr>
      <w:r>
        <w:t>Scope</w:t>
      </w:r>
    </w:p>
    <w:p w14:paraId="060B65A8" w14:textId="33161210" w:rsidR="00D85A76" w:rsidRDefault="00D85A76" w:rsidP="00D85A76">
      <w:r>
        <w:t xml:space="preserve">This IT policy, and all policies referenced herein, shall apply to all </w:t>
      </w:r>
      <w:r>
        <w:t>staff</w:t>
      </w:r>
      <w:r>
        <w:t xml:space="preserve"> of the </w:t>
      </w:r>
      <w:r>
        <w:t>organisation, client and other stakeholders</w:t>
      </w:r>
      <w:r>
        <w:t>, authorized guests, and independent contractors (the “User(s)” or “you”) who use, access, or otherwise employ, locally or remotely, Koorliny Kaattijin IT Resources, whether individually controlled, shared, stand-alone, or networked.</w:t>
      </w:r>
    </w:p>
    <w:p w14:paraId="1AA31A08" w14:textId="77777777" w:rsidR="00D85A76" w:rsidRDefault="00D85A76" w:rsidP="00D85A76">
      <w:pPr>
        <w:pStyle w:val="Head-1"/>
      </w:pPr>
      <w:r>
        <w:t>Policy Statement</w:t>
      </w:r>
    </w:p>
    <w:p w14:paraId="7E2A5C20" w14:textId="39BDF64E" w:rsidR="00D85A76" w:rsidRPr="004470D2" w:rsidRDefault="00D85A76" w:rsidP="004470D2">
      <w:pPr>
        <w:pStyle w:val="ListParagraph"/>
        <w:numPr>
          <w:ilvl w:val="0"/>
          <w:numId w:val="10"/>
        </w:numPr>
        <w:rPr>
          <w:rFonts w:ascii="Arial" w:hAnsi="Arial" w:cs="Arial"/>
          <w:sz w:val="25"/>
          <w:szCs w:val="25"/>
        </w:rPr>
      </w:pPr>
      <w:r w:rsidRPr="004470D2">
        <w:rPr>
          <w:rFonts w:ascii="Arial" w:hAnsi="Arial" w:cs="Arial"/>
          <w:sz w:val="25"/>
          <w:szCs w:val="25"/>
        </w:rPr>
        <w:t xml:space="preserve">Web application security assessments must be performed to identify potential or realized weaknesses (e.g., insecure coding, inadvertent misconfiguration, weak authentication, insufficient error handling, sensitive information leakage) </w:t>
      </w:r>
      <w:r w:rsidRPr="004470D2">
        <w:rPr>
          <w:rFonts w:ascii="Arial" w:hAnsi="Arial" w:cs="Arial"/>
          <w:sz w:val="25"/>
          <w:szCs w:val="25"/>
        </w:rPr>
        <w:t xml:space="preserve">as per the </w:t>
      </w:r>
      <w:r w:rsidRPr="004470D2">
        <w:rPr>
          <w:rFonts w:ascii="Arial" w:hAnsi="Arial" w:cs="Arial"/>
          <w:sz w:val="25"/>
          <w:szCs w:val="25"/>
        </w:rPr>
        <w:t>Vulnerability Management Policy.</w:t>
      </w:r>
    </w:p>
    <w:p w14:paraId="1D4EA29A" w14:textId="0B2BBB75" w:rsidR="004470D2" w:rsidRDefault="00D85A76" w:rsidP="004470D2">
      <w:pPr>
        <w:pStyle w:val="ListParagraph"/>
        <w:numPr>
          <w:ilvl w:val="0"/>
          <w:numId w:val="10"/>
        </w:numPr>
        <w:rPr>
          <w:rFonts w:ascii="Arial" w:hAnsi="Arial" w:cs="Arial"/>
          <w:sz w:val="25"/>
          <w:szCs w:val="25"/>
        </w:rPr>
      </w:pPr>
      <w:r w:rsidRPr="004470D2">
        <w:rPr>
          <w:rFonts w:ascii="Arial" w:hAnsi="Arial" w:cs="Arial"/>
          <w:sz w:val="25"/>
          <w:szCs w:val="25"/>
        </w:rPr>
        <w:t>Web applications must follow regular security or out-of-band assessments if one of the following criteria are met:</w:t>
      </w:r>
    </w:p>
    <w:p w14:paraId="03C242F7" w14:textId="77777777" w:rsidR="004470D2" w:rsidRPr="004470D2" w:rsidRDefault="004470D2" w:rsidP="004470D2">
      <w:pPr>
        <w:spacing w:after="0" w:line="240" w:lineRule="auto"/>
        <w:ind w:left="720"/>
        <w:rPr>
          <w:sz w:val="16"/>
          <w:szCs w:val="16"/>
        </w:rPr>
      </w:pPr>
    </w:p>
    <w:p w14:paraId="0D32FA5B" w14:textId="77777777" w:rsidR="00D85A76" w:rsidRPr="004470D2" w:rsidRDefault="00D85A76" w:rsidP="004470D2">
      <w:pPr>
        <w:pStyle w:val="ListParagraph"/>
        <w:numPr>
          <w:ilvl w:val="1"/>
          <w:numId w:val="10"/>
        </w:numPr>
        <w:rPr>
          <w:rFonts w:ascii="Arial" w:hAnsi="Arial" w:cs="Arial"/>
          <w:sz w:val="25"/>
          <w:szCs w:val="25"/>
        </w:rPr>
      </w:pPr>
      <w:r w:rsidRPr="004470D2">
        <w:rPr>
          <w:rFonts w:ascii="Arial" w:hAnsi="Arial" w:cs="Arial"/>
          <w:sz w:val="25"/>
          <w:szCs w:val="25"/>
        </w:rPr>
        <w:t>New or significant application releases are subject to the Secure Software Development Life Cycle before approval of the change control documentation or release into the live environment.</w:t>
      </w:r>
    </w:p>
    <w:p w14:paraId="77BB2FA6" w14:textId="77777777" w:rsidR="00D85A76" w:rsidRDefault="00D85A76" w:rsidP="004470D2">
      <w:pPr>
        <w:pStyle w:val="ListParagraph"/>
        <w:numPr>
          <w:ilvl w:val="1"/>
          <w:numId w:val="10"/>
        </w:numPr>
        <w:rPr>
          <w:rFonts w:ascii="Arial" w:hAnsi="Arial" w:cs="Arial"/>
          <w:sz w:val="25"/>
          <w:szCs w:val="25"/>
        </w:rPr>
      </w:pPr>
      <w:r w:rsidRPr="004470D2">
        <w:rPr>
          <w:rFonts w:ascii="Arial" w:hAnsi="Arial" w:cs="Arial"/>
          <w:sz w:val="25"/>
          <w:szCs w:val="25"/>
        </w:rPr>
        <w:t>Third-party or acquired web applications (i.e., commercial applications for which source code is not available) must be scanned when installed or upgraded. The vulnerabilities must be reported to Information Security and Assurance (ISA) and the vendor for correction.</w:t>
      </w:r>
    </w:p>
    <w:p w14:paraId="3DFFC00C" w14:textId="77777777" w:rsidR="004470D2" w:rsidRPr="004470D2" w:rsidRDefault="004470D2" w:rsidP="004470D2">
      <w:pPr>
        <w:spacing w:after="0" w:line="240" w:lineRule="auto"/>
        <w:ind w:left="1440"/>
        <w:rPr>
          <w:sz w:val="16"/>
          <w:szCs w:val="16"/>
        </w:rPr>
      </w:pPr>
    </w:p>
    <w:p w14:paraId="631FF527" w14:textId="77777777" w:rsidR="00D85A76" w:rsidRPr="004470D2" w:rsidRDefault="00D85A76" w:rsidP="004470D2">
      <w:pPr>
        <w:pStyle w:val="ListParagraph"/>
        <w:numPr>
          <w:ilvl w:val="0"/>
          <w:numId w:val="10"/>
        </w:numPr>
        <w:rPr>
          <w:rFonts w:ascii="Arial" w:hAnsi="Arial" w:cs="Arial"/>
          <w:sz w:val="25"/>
          <w:szCs w:val="25"/>
        </w:rPr>
      </w:pPr>
      <w:r w:rsidRPr="004470D2">
        <w:rPr>
          <w:rFonts w:ascii="Arial" w:hAnsi="Arial" w:cs="Arial"/>
          <w:sz w:val="25"/>
          <w:szCs w:val="25"/>
        </w:rPr>
        <w:t>Shared accounts are prohibited, except where it is not technically possible to individually provision accounts.</w:t>
      </w:r>
    </w:p>
    <w:p w14:paraId="0713BCEA" w14:textId="223FDCB6" w:rsidR="004470D2" w:rsidRPr="004470D2" w:rsidRDefault="00D85A76" w:rsidP="004470D2">
      <w:pPr>
        <w:pStyle w:val="ListParagraph"/>
        <w:numPr>
          <w:ilvl w:val="0"/>
          <w:numId w:val="10"/>
        </w:numPr>
        <w:rPr>
          <w:rFonts w:ascii="Arial" w:hAnsi="Arial" w:cs="Arial"/>
          <w:sz w:val="25"/>
          <w:szCs w:val="25"/>
        </w:rPr>
      </w:pPr>
      <w:r w:rsidRPr="004470D2">
        <w:rPr>
          <w:rFonts w:ascii="Arial" w:hAnsi="Arial" w:cs="Arial"/>
          <w:sz w:val="25"/>
          <w:szCs w:val="25"/>
        </w:rPr>
        <w:lastRenderedPageBreak/>
        <w:t>All Internet-facing web applications should deploy the Information Security and Assurance approved technical controls (e.g., Web Application Firewall (WAF) or Intrusion Prevention System (IPS)).</w:t>
      </w:r>
    </w:p>
    <w:p w14:paraId="72BFB168" w14:textId="77777777" w:rsidR="00D85A76" w:rsidRDefault="00D85A76" w:rsidP="004470D2">
      <w:pPr>
        <w:pStyle w:val="ListParagraph"/>
        <w:numPr>
          <w:ilvl w:val="0"/>
          <w:numId w:val="10"/>
        </w:numPr>
        <w:rPr>
          <w:rFonts w:ascii="Arial" w:hAnsi="Arial" w:cs="Arial"/>
          <w:sz w:val="25"/>
          <w:szCs w:val="25"/>
        </w:rPr>
      </w:pPr>
      <w:r w:rsidRPr="004470D2">
        <w:rPr>
          <w:rFonts w:ascii="Arial" w:hAnsi="Arial" w:cs="Arial"/>
          <w:sz w:val="25"/>
          <w:szCs w:val="25"/>
        </w:rPr>
        <w:t>Other security controls include but are not limited to, the following:</w:t>
      </w:r>
    </w:p>
    <w:p w14:paraId="18AFA18B" w14:textId="77777777" w:rsidR="004470D2" w:rsidRPr="004470D2" w:rsidRDefault="004470D2" w:rsidP="004470D2">
      <w:pPr>
        <w:spacing w:after="0" w:line="240" w:lineRule="auto"/>
        <w:ind w:left="720"/>
        <w:rPr>
          <w:sz w:val="16"/>
          <w:szCs w:val="16"/>
        </w:rPr>
      </w:pPr>
    </w:p>
    <w:p w14:paraId="3F05DB7E" w14:textId="77777777" w:rsidR="00D85A76" w:rsidRPr="004470D2" w:rsidRDefault="00D85A76" w:rsidP="004470D2">
      <w:pPr>
        <w:pStyle w:val="ListParagraph"/>
        <w:numPr>
          <w:ilvl w:val="1"/>
          <w:numId w:val="10"/>
        </w:numPr>
        <w:rPr>
          <w:rFonts w:ascii="Arial" w:hAnsi="Arial" w:cs="Arial"/>
          <w:sz w:val="25"/>
          <w:szCs w:val="25"/>
        </w:rPr>
      </w:pPr>
      <w:r w:rsidRPr="004470D2">
        <w:rPr>
          <w:rFonts w:ascii="Arial" w:hAnsi="Arial" w:cs="Arial"/>
          <w:sz w:val="25"/>
          <w:szCs w:val="25"/>
        </w:rPr>
        <w:t>Access controls,</w:t>
      </w:r>
    </w:p>
    <w:p w14:paraId="5EC23C3A" w14:textId="77777777" w:rsidR="00D85A76" w:rsidRPr="004470D2" w:rsidRDefault="00D85A76" w:rsidP="004470D2">
      <w:pPr>
        <w:pStyle w:val="ListParagraph"/>
        <w:numPr>
          <w:ilvl w:val="1"/>
          <w:numId w:val="10"/>
        </w:numPr>
        <w:rPr>
          <w:rFonts w:ascii="Arial" w:hAnsi="Arial" w:cs="Arial"/>
          <w:sz w:val="25"/>
          <w:szCs w:val="25"/>
        </w:rPr>
      </w:pPr>
      <w:r w:rsidRPr="004470D2">
        <w:rPr>
          <w:rFonts w:ascii="Arial" w:hAnsi="Arial" w:cs="Arial"/>
          <w:sz w:val="25"/>
          <w:szCs w:val="25"/>
        </w:rPr>
        <w:t>Configuration changes (you must submit non-agreed upon configuration changes to Information Security and Assurance for review),</w:t>
      </w:r>
    </w:p>
    <w:p w14:paraId="5C8D5389" w14:textId="77777777" w:rsidR="00D85A76" w:rsidRPr="004470D2" w:rsidRDefault="00D85A76" w:rsidP="004470D2">
      <w:pPr>
        <w:pStyle w:val="ListParagraph"/>
        <w:numPr>
          <w:ilvl w:val="1"/>
          <w:numId w:val="10"/>
        </w:numPr>
        <w:rPr>
          <w:rFonts w:ascii="Arial" w:hAnsi="Arial" w:cs="Arial"/>
          <w:sz w:val="25"/>
          <w:szCs w:val="25"/>
        </w:rPr>
      </w:pPr>
      <w:r w:rsidRPr="004470D2">
        <w:rPr>
          <w:rFonts w:ascii="Arial" w:hAnsi="Arial" w:cs="Arial"/>
          <w:sz w:val="25"/>
          <w:szCs w:val="25"/>
        </w:rPr>
        <w:t>Authentication (multi-factor authentication must be used for except where it is not technically possible),</w:t>
      </w:r>
    </w:p>
    <w:p w14:paraId="34CAA023" w14:textId="77777777" w:rsidR="00D85A76" w:rsidRPr="004470D2" w:rsidRDefault="00D85A76" w:rsidP="004470D2">
      <w:pPr>
        <w:pStyle w:val="ListParagraph"/>
        <w:numPr>
          <w:ilvl w:val="1"/>
          <w:numId w:val="10"/>
        </w:numPr>
        <w:rPr>
          <w:rFonts w:ascii="Arial" w:hAnsi="Arial" w:cs="Arial"/>
          <w:sz w:val="25"/>
          <w:szCs w:val="25"/>
        </w:rPr>
      </w:pPr>
      <w:r w:rsidRPr="004470D2">
        <w:rPr>
          <w:rFonts w:ascii="Arial" w:hAnsi="Arial" w:cs="Arial"/>
          <w:sz w:val="25"/>
          <w:szCs w:val="25"/>
        </w:rPr>
        <w:t>Data protection (e.g., encryption, data masking),</w:t>
      </w:r>
    </w:p>
    <w:p w14:paraId="5C6E31BC" w14:textId="77777777" w:rsidR="00D85A76" w:rsidRPr="004470D2" w:rsidRDefault="00D85A76" w:rsidP="004470D2">
      <w:pPr>
        <w:pStyle w:val="ListParagraph"/>
        <w:numPr>
          <w:ilvl w:val="1"/>
          <w:numId w:val="10"/>
        </w:numPr>
        <w:rPr>
          <w:rFonts w:ascii="Arial" w:hAnsi="Arial" w:cs="Arial"/>
          <w:sz w:val="25"/>
          <w:szCs w:val="25"/>
        </w:rPr>
      </w:pPr>
      <w:r w:rsidRPr="004470D2">
        <w:rPr>
          <w:rFonts w:ascii="Arial" w:hAnsi="Arial" w:cs="Arial"/>
          <w:sz w:val="25"/>
          <w:szCs w:val="25"/>
        </w:rPr>
        <w:t>Error handling and logging,</w:t>
      </w:r>
    </w:p>
    <w:p w14:paraId="0A76DD08" w14:textId="77777777" w:rsidR="00D85A76" w:rsidRPr="004470D2" w:rsidRDefault="00D85A76" w:rsidP="004470D2">
      <w:pPr>
        <w:pStyle w:val="ListParagraph"/>
        <w:numPr>
          <w:ilvl w:val="1"/>
          <w:numId w:val="10"/>
        </w:numPr>
        <w:rPr>
          <w:rFonts w:ascii="Arial" w:hAnsi="Arial" w:cs="Arial"/>
          <w:sz w:val="25"/>
          <w:szCs w:val="25"/>
        </w:rPr>
      </w:pPr>
      <w:r w:rsidRPr="004470D2">
        <w:rPr>
          <w:rFonts w:ascii="Arial" w:hAnsi="Arial" w:cs="Arial"/>
          <w:sz w:val="25"/>
          <w:szCs w:val="25"/>
        </w:rPr>
        <w:t>Input and output handling, and</w:t>
      </w:r>
    </w:p>
    <w:p w14:paraId="0D0A2652" w14:textId="77777777" w:rsidR="00D85A76" w:rsidRPr="004470D2" w:rsidRDefault="00D85A76" w:rsidP="004470D2">
      <w:pPr>
        <w:pStyle w:val="ListParagraph"/>
        <w:numPr>
          <w:ilvl w:val="1"/>
          <w:numId w:val="10"/>
        </w:numPr>
        <w:rPr>
          <w:rFonts w:ascii="Arial" w:hAnsi="Arial" w:cs="Arial"/>
          <w:sz w:val="25"/>
          <w:szCs w:val="25"/>
        </w:rPr>
      </w:pPr>
      <w:r w:rsidRPr="004470D2">
        <w:rPr>
          <w:rFonts w:ascii="Arial" w:hAnsi="Arial" w:cs="Arial"/>
          <w:sz w:val="25"/>
          <w:szCs w:val="25"/>
        </w:rPr>
        <w:t>Session management.</w:t>
      </w:r>
    </w:p>
    <w:p w14:paraId="596CC3EC" w14:textId="77777777" w:rsidR="00D85A76" w:rsidRDefault="00D85A76" w:rsidP="004470D2">
      <w:pPr>
        <w:pStyle w:val="Head-1"/>
      </w:pPr>
      <w:r>
        <w:t>Definitions</w:t>
      </w:r>
    </w:p>
    <w:p w14:paraId="3CA50E0D" w14:textId="77777777" w:rsidR="00D85A76" w:rsidRDefault="00D85A76" w:rsidP="00D85A76">
      <w:r w:rsidRPr="004470D2">
        <w:rPr>
          <w:b/>
          <w:bCs/>
        </w:rPr>
        <w:t>IT Resources</w:t>
      </w:r>
      <w:r>
        <w:t xml:space="preserve"> include computing, networking, communications, application, and telecommunications systems, infrastructure, hardware, software, data, databases, personnel, procedures, physical facilities, cloud-based vendors, Software as a Service (SaaS) vendors, and any related materials and services.</w:t>
      </w:r>
    </w:p>
    <w:p w14:paraId="09EFA010" w14:textId="77777777" w:rsidR="00D85A76" w:rsidRDefault="00D85A76" w:rsidP="00D85A76">
      <w:r w:rsidRPr="004470D2">
        <w:rPr>
          <w:b/>
          <w:bCs/>
        </w:rPr>
        <w:t>Web Application Security</w:t>
      </w:r>
      <w:r>
        <w:t xml:space="preserve"> is a branch of information security that deals specifically with the security of websites, web applications, and web services.</w:t>
      </w:r>
    </w:p>
    <w:p w14:paraId="416C7620" w14:textId="77777777" w:rsidR="00D85A76" w:rsidRDefault="00D85A76" w:rsidP="004470D2">
      <w:pPr>
        <w:pStyle w:val="Head-1"/>
      </w:pPr>
      <w:r>
        <w:t>Related Policies and Procedures</w:t>
      </w:r>
    </w:p>
    <w:p w14:paraId="7678F6E7" w14:textId="77777777" w:rsidR="00D85A76" w:rsidRDefault="00D85A76" w:rsidP="00D85A76">
      <w:r>
        <w:t>Vulnerability Management Policy</w:t>
      </w:r>
    </w:p>
    <w:p w14:paraId="0C899E3A" w14:textId="468252B0" w:rsidR="00D85A76" w:rsidRDefault="00D85A76" w:rsidP="004470D2">
      <w:pPr>
        <w:pStyle w:val="Head-1"/>
      </w:pPr>
      <w:r>
        <w:t>Revision History</w:t>
      </w:r>
    </w:p>
    <w:tbl>
      <w:tblPr>
        <w:tblStyle w:val="TableGrid"/>
        <w:tblW w:w="0" w:type="auto"/>
        <w:tblLook w:val="04A0" w:firstRow="1" w:lastRow="0" w:firstColumn="1" w:lastColumn="0" w:noHBand="0" w:noVBand="1"/>
      </w:tblPr>
      <w:tblGrid>
        <w:gridCol w:w="3134"/>
        <w:gridCol w:w="3134"/>
        <w:gridCol w:w="3134"/>
      </w:tblGrid>
      <w:tr w:rsidR="004470D2" w14:paraId="3335DEDD" w14:textId="77777777" w:rsidTr="004470D2">
        <w:tc>
          <w:tcPr>
            <w:tcW w:w="3134" w:type="dxa"/>
          </w:tcPr>
          <w:p w14:paraId="5FA32A54" w14:textId="5A646DCC" w:rsidR="004470D2" w:rsidRDefault="004470D2" w:rsidP="00D85A76">
            <w:r>
              <w:t>Version</w:t>
            </w:r>
          </w:p>
        </w:tc>
        <w:tc>
          <w:tcPr>
            <w:tcW w:w="3134" w:type="dxa"/>
          </w:tcPr>
          <w:p w14:paraId="119BC47E" w14:textId="45F43EA1" w:rsidR="004470D2" w:rsidRDefault="004470D2" w:rsidP="00D85A76">
            <w:r>
              <w:t>Date</w:t>
            </w:r>
          </w:p>
        </w:tc>
        <w:tc>
          <w:tcPr>
            <w:tcW w:w="3134" w:type="dxa"/>
          </w:tcPr>
          <w:p w14:paraId="1FCDBF70" w14:textId="07F131D5" w:rsidR="004470D2" w:rsidRDefault="004470D2" w:rsidP="00D85A76">
            <w:r>
              <w:t>Description</w:t>
            </w:r>
          </w:p>
        </w:tc>
      </w:tr>
      <w:tr w:rsidR="004470D2" w14:paraId="50007DE6" w14:textId="77777777" w:rsidTr="004470D2">
        <w:tc>
          <w:tcPr>
            <w:tcW w:w="3134" w:type="dxa"/>
          </w:tcPr>
          <w:p w14:paraId="6BD60882" w14:textId="5C80575B" w:rsidR="004470D2" w:rsidRDefault="004470D2" w:rsidP="00D85A76">
            <w:r>
              <w:t>1.0</w:t>
            </w:r>
          </w:p>
        </w:tc>
        <w:tc>
          <w:tcPr>
            <w:tcW w:w="3134" w:type="dxa"/>
          </w:tcPr>
          <w:p w14:paraId="0D115B44" w14:textId="48903BA3" w:rsidR="004470D2" w:rsidRDefault="004470D2" w:rsidP="00D85A76">
            <w:r>
              <w:t>07/31/2019</w:t>
            </w:r>
          </w:p>
        </w:tc>
        <w:tc>
          <w:tcPr>
            <w:tcW w:w="3134" w:type="dxa"/>
          </w:tcPr>
          <w:p w14:paraId="6DE6F2E0" w14:textId="03EBAA1E" w:rsidR="004470D2" w:rsidRDefault="004470D2" w:rsidP="00D85A76">
            <w:r>
              <w:t>Initial policy</w:t>
            </w:r>
          </w:p>
        </w:tc>
      </w:tr>
      <w:tr w:rsidR="004470D2" w14:paraId="0D5A32F9" w14:textId="77777777" w:rsidTr="004470D2">
        <w:tc>
          <w:tcPr>
            <w:tcW w:w="3134" w:type="dxa"/>
          </w:tcPr>
          <w:p w14:paraId="584B5D4A" w14:textId="77777777" w:rsidR="004470D2" w:rsidRDefault="004470D2" w:rsidP="00D85A76"/>
        </w:tc>
        <w:tc>
          <w:tcPr>
            <w:tcW w:w="3134" w:type="dxa"/>
          </w:tcPr>
          <w:p w14:paraId="5E46B7C6" w14:textId="39EACBD6" w:rsidR="004470D2" w:rsidRDefault="004470D2" w:rsidP="00D85A76">
            <w:r>
              <w:t>08/17/2020</w:t>
            </w:r>
          </w:p>
        </w:tc>
        <w:tc>
          <w:tcPr>
            <w:tcW w:w="3134" w:type="dxa"/>
          </w:tcPr>
          <w:p w14:paraId="5A05033D" w14:textId="32CAD1AE" w:rsidR="004470D2" w:rsidRDefault="004470D2" w:rsidP="00D85A76">
            <w:r>
              <w:t>Periodic review, no changes</w:t>
            </w:r>
          </w:p>
        </w:tc>
      </w:tr>
    </w:tbl>
    <w:p w14:paraId="3C0EC5E7" w14:textId="77777777" w:rsidR="00D85A76" w:rsidRDefault="00D85A76" w:rsidP="004470D2">
      <w:pPr>
        <w:pStyle w:val="Head-1"/>
      </w:pPr>
      <w:r>
        <w:t>Policy Disclaimer Statement</w:t>
      </w:r>
    </w:p>
    <w:p w14:paraId="527CC84E" w14:textId="0E37DB1E" w:rsidR="00A1606A" w:rsidRPr="00D85A76" w:rsidRDefault="00D85A76" w:rsidP="00D85A76">
      <w:r>
        <w:t xml:space="preserve">Deviations from policies, procedures, or guidelines published and approved by Information Security and Assurance (ISA) may only be done cooperatively between ISA and the requesting entity with sufficient time to allow for appropriate risk analysis, documentation, and possible presentation to authorized University representatives. </w:t>
      </w:r>
    </w:p>
    <w:sectPr w:rsidR="00A1606A" w:rsidRPr="00D85A76" w:rsidSect="003F0B77">
      <w:headerReference w:type="even" r:id="rId11"/>
      <w:headerReference w:type="default" r:id="rId12"/>
      <w:footerReference w:type="default" r:id="rId13"/>
      <w:headerReference w:type="first" r:id="rId14"/>
      <w:footerReference w:type="first" r:id="rId15"/>
      <w:pgSz w:w="11906" w:h="16838" w:code="9"/>
      <w:pgMar w:top="851" w:right="1247" w:bottom="851" w:left="1247" w:header="142"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BF6A7" w14:textId="77777777" w:rsidR="007A276C" w:rsidRDefault="007A276C" w:rsidP="00173068">
      <w:r>
        <w:separator/>
      </w:r>
    </w:p>
  </w:endnote>
  <w:endnote w:type="continuationSeparator" w:id="0">
    <w:p w14:paraId="725AA37D" w14:textId="77777777" w:rsidR="007A276C" w:rsidRDefault="007A276C" w:rsidP="00173068">
      <w:r>
        <w:continuationSeparator/>
      </w:r>
    </w:p>
  </w:endnote>
  <w:endnote w:type="continuationNotice" w:id="1">
    <w:p w14:paraId="7B0E0CDE" w14:textId="77777777" w:rsidR="007A276C" w:rsidRDefault="007A276C" w:rsidP="00173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8835" w14:textId="70BB6E95" w:rsidR="004B0534" w:rsidRPr="00CA31A9" w:rsidRDefault="00CA31A9" w:rsidP="00173068">
    <w:pPr>
      <w:pStyle w:val="Footer"/>
      <w:rPr>
        <w:noProof/>
      </w:rPr>
    </w:pPr>
    <w:r w:rsidRPr="004F5DF5">
      <w:t>Issue date:</w:t>
    </w:r>
    <w:r>
      <w:t xml:space="preserve"> January 2020</w:t>
    </w:r>
    <w:r w:rsidRPr="004F5DF5">
      <w:tab/>
    </w:r>
    <w:sdt>
      <w:sdtPr>
        <w:id w:val="-1927408259"/>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3</w:t>
        </w:r>
        <w:r w:rsidRPr="004F5DF5">
          <w:rPr>
            <w:noProof/>
          </w:rPr>
          <w:fldChar w:fldCharType="end"/>
        </w:r>
      </w:sdtContent>
    </w:sdt>
    <w:r w:rsidR="006F5D13">
      <w:rPr>
        <w:noProof/>
      </w:rPr>
      <w:t xml:space="preserve">  </w:t>
    </w:r>
    <w:r w:rsidR="006F5D13">
      <w:rPr>
        <w:noProof/>
      </w:rPr>
      <w:tab/>
    </w:r>
    <w:r>
      <w:rPr>
        <w:noProof/>
      </w:rPr>
      <w:t>Uncontrolled Copy When Printed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3B74" w14:textId="1596687E" w:rsidR="004F5DF5" w:rsidRPr="004F5DF5" w:rsidRDefault="004F5DF5" w:rsidP="00173068">
    <w:pPr>
      <w:pStyle w:val="Footer"/>
      <w:rPr>
        <w:noProof/>
      </w:rPr>
    </w:pPr>
    <w:r w:rsidRPr="004F5DF5">
      <w:t>Issue date:</w:t>
    </w:r>
    <w:r>
      <w:t xml:space="preserve"> January 2020</w:t>
    </w:r>
    <w:r w:rsidRPr="004F5DF5">
      <w:tab/>
    </w:r>
    <w:r w:rsidRPr="004F5DF5">
      <w:tab/>
    </w:r>
    <w:sdt>
      <w:sdtPr>
        <w:id w:val="-557548767"/>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1</w:t>
        </w:r>
        <w:r w:rsidRPr="004F5DF5">
          <w:rPr>
            <w:noProof/>
          </w:rPr>
          <w:fldChar w:fldCharType="end"/>
        </w:r>
      </w:sdtContent>
    </w:sdt>
  </w:p>
  <w:p w14:paraId="1F5CECB6" w14:textId="3483EF82" w:rsidR="004F5DF5" w:rsidRPr="004F5DF5" w:rsidRDefault="004F5DF5" w:rsidP="00173068">
    <w:pPr>
      <w:pStyle w:val="Footer"/>
      <w:rPr>
        <w:noProof/>
      </w:rPr>
    </w:pPr>
    <w:r>
      <w:rPr>
        <w:noProof/>
      </w:rPr>
      <w:t>Uncontrolled Copy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13283" w14:textId="77777777" w:rsidR="007A276C" w:rsidRDefault="007A276C" w:rsidP="00173068">
      <w:r>
        <w:separator/>
      </w:r>
    </w:p>
  </w:footnote>
  <w:footnote w:type="continuationSeparator" w:id="0">
    <w:p w14:paraId="6BD18833" w14:textId="77777777" w:rsidR="007A276C" w:rsidRDefault="007A276C" w:rsidP="00173068">
      <w:r>
        <w:continuationSeparator/>
      </w:r>
    </w:p>
  </w:footnote>
  <w:footnote w:type="continuationNotice" w:id="1">
    <w:p w14:paraId="529037D1" w14:textId="77777777" w:rsidR="007A276C" w:rsidRDefault="007A276C" w:rsidP="001730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E01E" w14:textId="0538768E" w:rsidR="00E9439D" w:rsidRDefault="00E9439D" w:rsidP="00173068">
    <w:pPr>
      <w:pStyle w:val="Header"/>
    </w:pPr>
    <w:r>
      <w:rPr>
        <w:noProof/>
        <w:shd w:val="clear" w:color="auto" w:fill="auto"/>
      </w:rPr>
      <mc:AlternateContent>
        <mc:Choice Requires="wps">
          <w:drawing>
            <wp:anchor distT="0" distB="0" distL="0" distR="0" simplePos="0" relativeHeight="251659264" behindDoc="0" locked="0" layoutInCell="1" allowOverlap="1" wp14:anchorId="6228E3D9" wp14:editId="43D09349">
              <wp:simplePos x="635" y="635"/>
              <wp:positionH relativeFrom="page">
                <wp:align>center</wp:align>
              </wp:positionH>
              <wp:positionV relativeFrom="page">
                <wp:align>top</wp:align>
              </wp:positionV>
              <wp:extent cx="443865" cy="443865"/>
              <wp:effectExtent l="0" t="0" r="16510" b="444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AB161D" w14:textId="177C19E6" w:rsidR="00E9439D" w:rsidRPr="00E9439D" w:rsidRDefault="00E9439D" w:rsidP="00173068">
                          <w:pPr>
                            <w:rPr>
                              <w:rFonts w:eastAsia="Calibri"/>
                              <w:noProof/>
                            </w:rPr>
                          </w:pPr>
                          <w:r w:rsidRPr="00E9439D">
                            <w:rPr>
                              <w:rFonts w:eastAsia="Calibri"/>
                              <w:noProof/>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28E3D9"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DAB161D" w14:textId="177C19E6" w:rsidR="00E9439D" w:rsidRPr="00E9439D" w:rsidRDefault="00E9439D" w:rsidP="00173068">
                    <w:pPr>
                      <w:rPr>
                        <w:rFonts w:eastAsia="Calibri"/>
                        <w:noProof/>
                      </w:rPr>
                    </w:pPr>
                    <w:r w:rsidRPr="00E9439D">
                      <w:rPr>
                        <w:rFonts w:eastAsia="Calibri"/>
                        <w:noProof/>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D52F" w14:textId="69E0B005" w:rsidR="003F0B77" w:rsidRDefault="003F0B77" w:rsidP="00D85A76">
    <w:pPr>
      <w:pStyle w:val="Header"/>
      <w:ind w:left="-1247"/>
    </w:pPr>
    <w:r>
      <w:rPr>
        <w:noProof/>
      </w:rPr>
      <w:drawing>
        <wp:inline distT="0" distB="0" distL="0" distR="0" wp14:anchorId="266BE286" wp14:editId="6BCDA574">
          <wp:extent cx="754380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9239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E970" w14:textId="2C2059E5" w:rsidR="004B0534" w:rsidRDefault="00636457" w:rsidP="00173068">
    <w:pPr>
      <w:pStyle w:val="Header"/>
      <w:ind w:left="-1247"/>
    </w:pPr>
    <w:r>
      <w:rPr>
        <w:noProof/>
      </w:rPr>
      <w:drawing>
        <wp:inline distT="0" distB="0" distL="0" distR="0" wp14:anchorId="20B61F9F" wp14:editId="7025771D">
          <wp:extent cx="7553325" cy="1012190"/>
          <wp:effectExtent l="0" t="0" r="9525" b="0"/>
          <wp:docPr id="429606588" name="Picture 2" descr="A black and orang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06588" name="Picture 2" descr="A black and orange lin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553325" cy="1012190"/>
                  </a:xfrm>
                  <a:prstGeom prst="rect">
                    <a:avLst/>
                  </a:prstGeom>
                </pic:spPr>
              </pic:pic>
            </a:graphicData>
          </a:graphic>
        </wp:inline>
      </w:drawing>
    </w:r>
  </w:p>
  <w:p w14:paraId="0D26E08A" w14:textId="77777777" w:rsidR="004F5DF5" w:rsidRPr="004F5DF5" w:rsidRDefault="004F5DF5" w:rsidP="00173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581"/>
    <w:multiLevelType w:val="hybridMultilevel"/>
    <w:tmpl w:val="784A2E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0744552"/>
    <w:multiLevelType w:val="hybridMultilevel"/>
    <w:tmpl w:val="5BC4C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EA0F86"/>
    <w:multiLevelType w:val="hybridMultilevel"/>
    <w:tmpl w:val="7F649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ED1A7C"/>
    <w:multiLevelType w:val="hybridMultilevel"/>
    <w:tmpl w:val="99B4FA0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707554E"/>
    <w:multiLevelType w:val="hybridMultilevel"/>
    <w:tmpl w:val="AE207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E7681E"/>
    <w:multiLevelType w:val="hybridMultilevel"/>
    <w:tmpl w:val="65EEF0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6FE1845"/>
    <w:multiLevelType w:val="hybridMultilevel"/>
    <w:tmpl w:val="A328B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6D0DF8"/>
    <w:multiLevelType w:val="hybridMultilevel"/>
    <w:tmpl w:val="2A50A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9B33E9C"/>
    <w:multiLevelType w:val="hybridMultilevel"/>
    <w:tmpl w:val="2D5A5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8C5C28"/>
    <w:multiLevelType w:val="hybridMultilevel"/>
    <w:tmpl w:val="5A5E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674678">
    <w:abstractNumId w:val="0"/>
  </w:num>
  <w:num w:numId="2" w16cid:durableId="20281430">
    <w:abstractNumId w:val="5"/>
  </w:num>
  <w:num w:numId="3" w16cid:durableId="1315835028">
    <w:abstractNumId w:val="8"/>
  </w:num>
  <w:num w:numId="4" w16cid:durableId="258022624">
    <w:abstractNumId w:val="7"/>
  </w:num>
  <w:num w:numId="5" w16cid:durableId="1427338159">
    <w:abstractNumId w:val="6"/>
  </w:num>
  <w:num w:numId="6" w16cid:durableId="690952195">
    <w:abstractNumId w:val="2"/>
  </w:num>
  <w:num w:numId="7" w16cid:durableId="141167397">
    <w:abstractNumId w:val="4"/>
  </w:num>
  <w:num w:numId="8" w16cid:durableId="2016104735">
    <w:abstractNumId w:val="1"/>
  </w:num>
  <w:num w:numId="9" w16cid:durableId="1385330778">
    <w:abstractNumId w:val="9"/>
  </w:num>
  <w:num w:numId="10" w16cid:durableId="532160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92"/>
    <w:rsid w:val="00005531"/>
    <w:rsid w:val="000303A8"/>
    <w:rsid w:val="000A0192"/>
    <w:rsid w:val="000A23AD"/>
    <w:rsid w:val="000B529A"/>
    <w:rsid w:val="000D3DD9"/>
    <w:rsid w:val="00173068"/>
    <w:rsid w:val="00195EC1"/>
    <w:rsid w:val="001A25C5"/>
    <w:rsid w:val="001A61A3"/>
    <w:rsid w:val="00226BB7"/>
    <w:rsid w:val="002301FE"/>
    <w:rsid w:val="00267E2E"/>
    <w:rsid w:val="0029542A"/>
    <w:rsid w:val="002A2B97"/>
    <w:rsid w:val="002F04AD"/>
    <w:rsid w:val="00303F51"/>
    <w:rsid w:val="00325309"/>
    <w:rsid w:val="003728CB"/>
    <w:rsid w:val="00394146"/>
    <w:rsid w:val="003A5BB0"/>
    <w:rsid w:val="003C41F2"/>
    <w:rsid w:val="003E7522"/>
    <w:rsid w:val="003F0B77"/>
    <w:rsid w:val="004470D2"/>
    <w:rsid w:val="00447DDD"/>
    <w:rsid w:val="00481FD9"/>
    <w:rsid w:val="004B0534"/>
    <w:rsid w:val="004E3B4C"/>
    <w:rsid w:val="004F5DF5"/>
    <w:rsid w:val="00541432"/>
    <w:rsid w:val="0054419B"/>
    <w:rsid w:val="00550671"/>
    <w:rsid w:val="005B56CB"/>
    <w:rsid w:val="005C0DBB"/>
    <w:rsid w:val="005E5514"/>
    <w:rsid w:val="005F429A"/>
    <w:rsid w:val="005F7E57"/>
    <w:rsid w:val="00636457"/>
    <w:rsid w:val="00656C07"/>
    <w:rsid w:val="006C18CD"/>
    <w:rsid w:val="006C6B5D"/>
    <w:rsid w:val="006D7E63"/>
    <w:rsid w:val="006E4A95"/>
    <w:rsid w:val="006F5D13"/>
    <w:rsid w:val="00714B25"/>
    <w:rsid w:val="00757A16"/>
    <w:rsid w:val="007A276C"/>
    <w:rsid w:val="007D047D"/>
    <w:rsid w:val="00804D33"/>
    <w:rsid w:val="00836B81"/>
    <w:rsid w:val="008452BE"/>
    <w:rsid w:val="008A05F8"/>
    <w:rsid w:val="008C0AEF"/>
    <w:rsid w:val="00913C8E"/>
    <w:rsid w:val="0095150B"/>
    <w:rsid w:val="00A0501B"/>
    <w:rsid w:val="00A063B4"/>
    <w:rsid w:val="00A1606A"/>
    <w:rsid w:val="00A17821"/>
    <w:rsid w:val="00A90566"/>
    <w:rsid w:val="00A9417F"/>
    <w:rsid w:val="00AF16FE"/>
    <w:rsid w:val="00B2011F"/>
    <w:rsid w:val="00B55171"/>
    <w:rsid w:val="00B61A83"/>
    <w:rsid w:val="00BE06E3"/>
    <w:rsid w:val="00BF3A6B"/>
    <w:rsid w:val="00C00219"/>
    <w:rsid w:val="00C102BB"/>
    <w:rsid w:val="00C24BA1"/>
    <w:rsid w:val="00C80612"/>
    <w:rsid w:val="00C81BCC"/>
    <w:rsid w:val="00C851FD"/>
    <w:rsid w:val="00CA31A9"/>
    <w:rsid w:val="00CE5E68"/>
    <w:rsid w:val="00D01B07"/>
    <w:rsid w:val="00D3632C"/>
    <w:rsid w:val="00D51157"/>
    <w:rsid w:val="00D8008E"/>
    <w:rsid w:val="00D85A76"/>
    <w:rsid w:val="00DB0A08"/>
    <w:rsid w:val="00E3472E"/>
    <w:rsid w:val="00E3727B"/>
    <w:rsid w:val="00E9439D"/>
    <w:rsid w:val="00E97B27"/>
    <w:rsid w:val="00E97FC4"/>
    <w:rsid w:val="00EB2D84"/>
    <w:rsid w:val="00ED66D4"/>
    <w:rsid w:val="00F160E7"/>
    <w:rsid w:val="00F176DF"/>
    <w:rsid w:val="00F72CCB"/>
    <w:rsid w:val="00F8533E"/>
    <w:rsid w:val="00F85C01"/>
    <w:rsid w:val="00F95CA6"/>
    <w:rsid w:val="00FC0F23"/>
    <w:rsid w:val="00FC3679"/>
    <w:rsid w:val="00FE0827"/>
    <w:rsid w:val="00FF4950"/>
    <w:rsid w:val="07CB28AE"/>
    <w:rsid w:val="6BAE5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E94B"/>
  <w15:docId w15:val="{3AD3CAEB-66A1-4D3B-B2E6-77CF9981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68"/>
    <w:rPr>
      <w:rFonts w:ascii="Arial" w:eastAsia="Times New Roman" w:hAnsi="Arial" w:cs="Arial"/>
      <w:color w:val="333333"/>
      <w:sz w:val="25"/>
      <w:szCs w:val="25"/>
      <w:shd w:val="clear" w:color="auto" w:fill="FFFFFF"/>
      <w:lang w:eastAsia="en-AU"/>
    </w:rPr>
  </w:style>
  <w:style w:type="paragraph" w:styleId="Heading1">
    <w:name w:val="heading 1"/>
    <w:basedOn w:val="Normal"/>
    <w:next w:val="Normal"/>
    <w:link w:val="Heading1Char"/>
    <w:uiPriority w:val="9"/>
    <w:qFormat/>
    <w:rsid w:val="000303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303A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192"/>
  </w:style>
  <w:style w:type="paragraph" w:styleId="Footer">
    <w:name w:val="footer"/>
    <w:basedOn w:val="Normal"/>
    <w:link w:val="FooterChar"/>
    <w:uiPriority w:val="99"/>
    <w:unhideWhenUsed/>
    <w:rsid w:val="000A0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192"/>
  </w:style>
  <w:style w:type="paragraph" w:styleId="ListParagraph">
    <w:name w:val="List Paragraph"/>
    <w:basedOn w:val="Normal"/>
    <w:uiPriority w:val="34"/>
    <w:qFormat/>
    <w:rsid w:val="00173068"/>
    <w:pPr>
      <w:spacing w:after="120" w:line="240" w:lineRule="auto"/>
      <w:ind w:left="1134" w:hanging="414"/>
      <w:contextualSpacing/>
    </w:pPr>
    <w:rPr>
      <w:rFonts w:ascii="Cambria" w:eastAsia="MS Mincho" w:hAnsi="Cambria"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06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E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9542A"/>
    <w:rPr>
      <w:b/>
      <w:bCs/>
    </w:rPr>
  </w:style>
  <w:style w:type="character" w:customStyle="1" w:styleId="CommentSubjectChar">
    <w:name w:val="Comment Subject Char"/>
    <w:basedOn w:val="CommentTextChar"/>
    <w:link w:val="CommentSubject"/>
    <w:uiPriority w:val="99"/>
    <w:semiHidden/>
    <w:rsid w:val="0029542A"/>
    <w:rPr>
      <w:b/>
      <w:bCs/>
      <w:sz w:val="20"/>
      <w:szCs w:val="20"/>
    </w:rPr>
  </w:style>
  <w:style w:type="paragraph" w:customStyle="1" w:styleId="Head-1">
    <w:name w:val="Head-1"/>
    <w:basedOn w:val="Heading1"/>
    <w:qFormat/>
    <w:rsid w:val="00173068"/>
    <w:pPr>
      <w:spacing w:after="240"/>
    </w:pPr>
    <w:rPr>
      <w:rFonts w:ascii="Arial" w:hAnsi="Arial" w:cs="Arial"/>
      <w:color w:val="ED7D31" w:themeColor="accent2"/>
    </w:rPr>
  </w:style>
  <w:style w:type="paragraph" w:customStyle="1" w:styleId="Head-2">
    <w:name w:val="Head-2"/>
    <w:basedOn w:val="Heading2"/>
    <w:qFormat/>
    <w:rsid w:val="00173068"/>
    <w:pPr>
      <w:spacing w:after="240"/>
    </w:pPr>
    <w:rPr>
      <w:rFonts w:ascii="Arial" w:eastAsia="Times New Roman" w:hAnsi="Arial" w:cs="Arial"/>
      <w:bCs w:val="0"/>
      <w:color w:val="ED7D31" w:themeColor="accent2"/>
      <w:sz w:val="25"/>
      <w:szCs w:val="25"/>
    </w:rPr>
  </w:style>
  <w:style w:type="character" w:customStyle="1" w:styleId="Heading1Char">
    <w:name w:val="Heading 1 Char"/>
    <w:basedOn w:val="DefaultParagraphFont"/>
    <w:link w:val="Heading1"/>
    <w:uiPriority w:val="9"/>
    <w:rsid w:val="000303A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303A8"/>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semiHidden/>
    <w:unhideWhenUsed/>
    <w:rsid w:val="00D85A76"/>
    <w:rPr>
      <w:color w:val="0000FF"/>
      <w:u w:val="single"/>
    </w:rPr>
  </w:style>
  <w:style w:type="table" w:styleId="TableGrid">
    <w:name w:val="Table Grid"/>
    <w:basedOn w:val="TableNormal"/>
    <w:uiPriority w:val="39"/>
    <w:rsid w:val="00447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15" ma:contentTypeDescription="Create a new document." ma:contentTypeScope="" ma:versionID="d4203f2042db59ea89fe897f2ef1eb2d">
  <xsd:schema xmlns:xsd="http://www.w3.org/2001/XMLSchema" xmlns:xs="http://www.w3.org/2001/XMLSchema" xmlns:p="http://schemas.microsoft.com/office/2006/metadata/properties" xmlns:ns3="a2b13c42-4946-4d21-958d-48c19862b4de" xmlns:ns4="0dcc9c63-86c5-4831-8521-18067e1ef0d7" targetNamespace="http://schemas.microsoft.com/office/2006/metadata/properties" ma:root="true" ma:fieldsID="cecd9af0b44fc483a53f207ad94211bd" ns3:_="" ns4:_="">
    <xsd:import namespace="a2b13c42-4946-4d21-958d-48c19862b4de"/>
    <xsd:import namespace="0dcc9c63-86c5-4831-8521-18067e1ef0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cc9c63-86c5-4831-8521-18067e1ef0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2b13c42-4946-4d21-958d-48c19862b4d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1BD92-E765-40EC-A23B-CE8BDFCE1837}">
  <ds:schemaRefs>
    <ds:schemaRef ds:uri="http://schemas.microsoft.com/sharepoint/v3/contenttype/forms"/>
  </ds:schemaRefs>
</ds:datastoreItem>
</file>

<file path=customXml/itemProps2.xml><?xml version="1.0" encoding="utf-8"?>
<ds:datastoreItem xmlns:ds="http://schemas.openxmlformats.org/officeDocument/2006/customXml" ds:itemID="{0432F2C9-3B0E-46B6-BDF9-51E4214AC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0dcc9c63-86c5-4831-8521-18067e1ef0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62AB0D-E932-4DF9-B93C-EE5143A3092A}">
  <ds:schemaRefs>
    <ds:schemaRef ds:uri="http://schemas.microsoft.com/office/2006/metadata/properties"/>
    <ds:schemaRef ds:uri="http://schemas.microsoft.com/office/infopath/2007/PartnerControls"/>
    <ds:schemaRef ds:uri="a2b13c42-4946-4d21-958d-48c19862b4de"/>
  </ds:schemaRefs>
</ds:datastoreItem>
</file>

<file path=customXml/itemProps4.xml><?xml version="1.0" encoding="utf-8"?>
<ds:datastoreItem xmlns:ds="http://schemas.openxmlformats.org/officeDocument/2006/customXml" ds:itemID="{742EDD29-65DA-414A-B970-ED4147D7C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521</Words>
  <Characters>2708</Characters>
  <Application>Microsoft Office Word</Application>
  <DocSecurity>0</DocSecurity>
  <Lines>71</Lines>
  <Paragraphs>39</Paragraphs>
  <ScaleCrop>false</ScaleCrop>
  <HeadingPairs>
    <vt:vector size="2" baseType="variant">
      <vt:variant>
        <vt:lpstr>Title</vt:lpstr>
      </vt:variant>
      <vt:variant>
        <vt:i4>1</vt:i4>
      </vt:variant>
    </vt:vector>
  </HeadingPairs>
  <TitlesOfParts>
    <vt:vector size="1" baseType="lpstr">
      <vt:lpstr>Student Code of Conduct (WI138A1)</vt:lpstr>
    </vt:vector>
  </TitlesOfParts>
  <Company>North Metro TAFE</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Salay</dc:creator>
  <cp:lastModifiedBy>Pat Salay</cp:lastModifiedBy>
  <cp:revision>3</cp:revision>
  <dcterms:created xsi:type="dcterms:W3CDTF">2023-05-30T04:05:00Z</dcterms:created>
  <dcterms:modified xsi:type="dcterms:W3CDTF">2023-05-30T04:11:00Z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0x010100A5B5323AD63C164E880DE204A0FB1524</vt:lpwstr>
  </property>
  <property fmtid="{D5CDD505-2E9C-101B-9397-08002B2CF9AE}" pid="3" name="PublishingContact">
    <vt:lpwstr/>
  </property>
  <property fmtid="{D5CDD505-2E9C-101B-9397-08002B2CF9AE}" pid="4" name="PublishingVariationRelationshipLinkFieldID">
    <vt:lpwstr>, </vt:lpwstr>
  </property>
  <property fmtid="{D5CDD505-2E9C-101B-9397-08002B2CF9AE}" pid="5" name="PublishingContactPicture">
    <vt:lpwstr>, </vt:lpwstr>
  </property>
  <property fmtid="{D5CDD505-2E9C-101B-9397-08002B2CF9AE}" pid="6" name="ClassificationContentMarkingHeaderShapeIds">
    <vt:lpwstr>1,2,3</vt:lpwstr>
  </property>
  <property fmtid="{D5CDD505-2E9C-101B-9397-08002B2CF9AE}" pid="7" name="ClassificationContentMarkingHeaderFontProps">
    <vt:lpwstr>#ff0000,10,Calibri</vt:lpwstr>
  </property>
  <property fmtid="{D5CDD505-2E9C-101B-9397-08002B2CF9AE}" pid="8" name="ClassificationContentMarkingHeaderText">
    <vt:lpwstr>OFFICIAL</vt:lpwstr>
  </property>
  <property fmtid="{D5CDD505-2E9C-101B-9397-08002B2CF9AE}" pid="9" name="MSIP_Label_f3ac7e5b-5da2-46c7-8677-8a6b50f7d886_Enabled">
    <vt:lpwstr>true</vt:lpwstr>
  </property>
  <property fmtid="{D5CDD505-2E9C-101B-9397-08002B2CF9AE}" pid="10" name="MSIP_Label_f3ac7e5b-5da2-46c7-8677-8a6b50f7d886_SetDate">
    <vt:lpwstr>2022-11-16T07:23:04Z</vt:lpwstr>
  </property>
  <property fmtid="{D5CDD505-2E9C-101B-9397-08002B2CF9AE}" pid="11" name="MSIP_Label_f3ac7e5b-5da2-46c7-8677-8a6b50f7d886_Method">
    <vt:lpwstr>Standard</vt:lpwstr>
  </property>
  <property fmtid="{D5CDD505-2E9C-101B-9397-08002B2CF9AE}" pid="12" name="MSIP_Label_f3ac7e5b-5da2-46c7-8677-8a6b50f7d886_Name">
    <vt:lpwstr>Official</vt:lpwstr>
  </property>
  <property fmtid="{D5CDD505-2E9C-101B-9397-08002B2CF9AE}" pid="13" name="MSIP_Label_f3ac7e5b-5da2-46c7-8677-8a6b50f7d886_SiteId">
    <vt:lpwstr>218881e8-07ad-4142-87d7-f6b90d17009b</vt:lpwstr>
  </property>
  <property fmtid="{D5CDD505-2E9C-101B-9397-08002B2CF9AE}" pid="14" name="MSIP_Label_f3ac7e5b-5da2-46c7-8677-8a6b50f7d886_ActionId">
    <vt:lpwstr>ab6af31a-b14f-43ad-bb26-1f20cfa51c3d</vt:lpwstr>
  </property>
  <property fmtid="{D5CDD505-2E9C-101B-9397-08002B2CF9AE}" pid="15" name="MSIP_Label_f3ac7e5b-5da2-46c7-8677-8a6b50f7d886_ContentBits">
    <vt:lpwstr>1</vt:lpwstr>
  </property>
</Properties>
</file>