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sz w:val="56"/>
          <w:szCs w:val="56"/>
        </w:rPr>
        <w:t xml:space="preserve">ReqPrep</w:t>
      </w:r>
    </w:p>
    <w:p>
      <w:pPr>
        <w:spacing w:after="240"/>
        <w:jc w:val="center"/>
      </w:pPr>
      <w:r>
        <w:rPr>
          <w:sz w:val="30"/>
          <w:szCs w:val="30"/>
        </w:rPr>
        <w:t xml:space="preserve">A Bounded Agentic Assistant for Purchase Requisition Preparation in Ugandan SMEs</w:t>
      </w:r>
    </w:p>
    <w:p>
      <w:pPr>
        <w:spacing w:after="600"/>
        <w:jc w:val="center"/>
      </w:pPr>
      <w:r>
        <w:rPr>
          <w:sz w:val="26"/>
          <w:szCs w:val="26"/>
        </w:rPr>
        <w:t xml:space="preserve">Final Engineering Report — BSE4104 Emerging Trends, GROUP-T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Member</w:t>
            </w:r>
          </w:p>
        </w:tc>
        <w:tc>
          <w:tcPr>
            <w:tcW w:type="dxa" w:w="385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Role</w:t>
            </w:r>
          </w:p>
        </w:tc>
        <w:tc>
          <w:tcPr>
            <w:tcW w:type="dxa" w:w="289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Report sections</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Ashaba Ahebwa Mable</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Project / Requirements Lead (editor)</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 §2, §10; references</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Azibo Isaac Alinda</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Application, integration and state</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 §6, §9</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Tendo Caisey</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AI Engineering Lead</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 §5, §7</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Akisa Maria Ashley</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Quality / Security Lead</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w:t>
            </w:r>
          </w:p>
        </w:tc>
      </w:tr>
      <w:t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Wakinya Esau John</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DevOps / Documentation Lead</w:t>
            </w:r>
          </w:p>
        </w:tc>
        <w:tc>
          <w:tcPr>
            <w:tcW w:type="dxa" w:w="28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Appendices</w:t>
            </w:r>
          </w:p>
        </w:tc>
      </w:tr>
    </w:tbl>
    <w:p>
      <w:pPr>
        <w:spacing w:after="80"/>
      </w:pPr>
    </w:p>
    <w:p>
      <w:pPr>
        <w:spacing w:before="400"/>
        <w:jc w:val="center"/>
      </w:pPr>
      <w:r>
        <w:rPr>
          <w:b/>
          <w:bCs/>
        </w:rPr>
        <w:t xml:space="preserve">Draft v0.9, 23 October 2026</w:t>
      </w:r>
    </w:p>
    <w:p>
      <w:pPr>
        <w:jc w:val="center"/>
      </w:pPr>
      <w:r>
        <w:rPr>
          <w:i/>
          <w:iCs/>
          <w:sz w:val="20"/>
          <w:szCs w:val="20"/>
        </w:rPr>
        <w:t xml:space="preserve">Assembled by the editor with AI assistance from the project repository (AI Engineering Log). Each section is to be reviewed and confirmed by its owner before submission.</w:t>
      </w:r>
    </w:p>
    <w:p>
      <w:r>
        <w:br w:type="page"/>
      </w:r>
    </w:p>
    <w:p>
      <w:pPr>
        <w:pStyle w:val="Heading1"/>
      </w:pPr>
      <w:bookmarkStart w:name="_Toc1" w:id="1"/>
      <w:r>
        <w:t xml:space="preserve">Contents</w:t>
      </w:r>
      <w:bookmarkEnd w:id="1"/>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Executive summary</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Problem and requirements</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2.1 Problem</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2.2 Scope and boundaries</w:t>
            </w:r>
            <w:r>
              <w:tab/>
            </w:r>
            <w:r>
              <w:fldChar w:fldCharType="begin" w:dirty="true"/>
              <w:instrText xml:space="preserve">PAGEREF _Toc5 \h</w:instrText>
              <w:fldChar w:fldCharType="separate"/>
              <w:fldChar w:fldCharType="end"/>
            </w:r>
          </w:hyperlink>
        </w:p>
        <w:p>
          <w:pPr>
            <w:pStyle w:val="TOC2"/>
            <w:tabs>
              <w:tab w:val="right" w:pos="9638" w:leader="dot"/>
            </w:tabs>
          </w:pPr>
          <w:hyperlink w:history="1" w:anchor="_Toc6">
            <w:r>
              <w:t xml:space="preserve">2.3 Requirements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3. Architecture</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4. Model and prompts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5. Context engineering and RAG</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6. Tools and agentic workflow</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7. Memory, state and MCP</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8. Evaluation, observability and guardrails</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9. Software engineering quality and deployment</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10. Results and reflection</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10.1 Results against the objectives</w:t>
            </w:r>
            <w:r>
              <w:tab/>
            </w:r>
            <w:r>
              <w:fldChar w:fldCharType="begin" w:dirty="true"/>
              <w:instrText xml:space="preserve">PAGEREF _Toc15 \h</w:instrText>
              <w:fldChar w:fldCharType="separate"/>
              <w:fldChar w:fldCharType="end"/>
            </w:r>
          </w:hyperlink>
        </w:p>
        <w:p>
          <w:pPr>
            <w:pStyle w:val="TOC2"/>
            <w:tabs>
              <w:tab w:val="right" w:pos="9638" w:leader="dot"/>
            </w:tabs>
          </w:pPr>
          <w:hyperlink w:history="1" w:anchor="_Toc16">
            <w:r>
              <w:t xml:space="preserve">10.2 Known limitations</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10.3 Reflection</w:t>
            </w:r>
            <w:r>
              <w:tab/>
            </w:r>
            <w:r>
              <w:fldChar w:fldCharType="begin" w:dirty="true"/>
              <w:instrText xml:space="preserve">PAGEREF _Toc17 \h</w:instrText>
              <w:fldChar w:fldCharType="separate"/>
              <w:fldChar w:fldCharType="end"/>
            </w:r>
          </w:hyperlink>
        </w:p>
        <w:p>
          <w:pPr>
            <w:pStyle w:val="TOC1"/>
            <w:tabs>
              <w:tab w:val="right" w:pos="9638" w:leader="dot"/>
            </w:tabs>
          </w:pPr>
          <w:hyperlink w:history="1" w:anchor="_Toc18">
            <w:r>
              <w:t xml:space="preserve">Appendices</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A. User stories and evaluation coverage</w:t>
            </w:r>
            <w:r>
              <w:tab/>
            </w:r>
            <w:r>
              <w:fldChar w:fldCharType="begin" w:dirty="true"/>
              <w:instrText xml:space="preserve">PAGEREF _Toc19 \h</w:instrText>
              <w:fldChar w:fldCharType="separate"/>
              <w:fldChar w:fldCharType="end"/>
            </w:r>
          </w:hyperlink>
        </w:p>
        <w:p>
          <w:pPr>
            <w:pStyle w:val="TOC2"/>
            <w:tabs>
              <w:tab w:val="right" w:pos="9638" w:leader="dot"/>
            </w:tabs>
          </w:pPr>
          <w:hyperlink w:history="1" w:anchor="_Toc20">
            <w:r>
              <w:t xml:space="preserve">B. Prompts</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C. Tool schemas</w:t>
            </w:r>
            <w:r>
              <w:tab/>
            </w:r>
            <w:r>
              <w:fldChar w:fldCharType="begin" w:dirty="true"/>
              <w:instrText xml:space="preserve">PAGEREF _Toc21 \h</w:instrText>
              <w:fldChar w:fldCharType="separate"/>
              <w:fldChar w:fldCharType="end"/>
            </w:r>
          </w:hyperlink>
        </w:p>
        <w:p>
          <w:pPr>
            <w:pStyle w:val="TOC2"/>
            <w:tabs>
              <w:tab w:val="right" w:pos="9638" w:leader="dot"/>
            </w:tabs>
          </w:pPr>
          <w:hyperlink w:history="1" w:anchor="_Toc22">
            <w:r>
              <w:t xml:space="preserve">D. Traces and evidence</w:t>
            </w:r>
            <w:r>
              <w:tab/>
            </w:r>
            <w:r>
              <w:fldChar w:fldCharType="begin" w:dirty="true"/>
              <w:instrText xml:space="preserve">PAGEREF _Toc22 \h</w:instrText>
              <w:fldChar w:fldCharType="separate"/>
              <w:fldChar w:fldCharType="end"/>
            </w:r>
          </w:hyperlink>
        </w:p>
        <w:p>
          <w:pPr>
            <w:pStyle w:val="TOC2"/>
            <w:tabs>
              <w:tab w:val="right" w:pos="9638" w:leader="dot"/>
            </w:tabs>
          </w:pPr>
          <w:hyperlink w:history="1" w:anchor="_Toc23">
            <w:r>
              <w:t xml:space="preserve">E. AI Engineering Log summary</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References</w:t>
            </w:r>
            <w:r>
              <w:tab/>
            </w:r>
            <w:r>
              <w:fldChar w:fldCharType="begin" w:dirty="true"/>
              <w:instrText xml:space="preserve">PAGEREF _Toc24 \h</w:instrText>
              <w:fldChar w:fldCharType="separate"/>
              <w:fldChar w:fldCharType="end"/>
            </w:r>
          </w:hyperlink>
        </w:p>
        <w:p>
          <w:r>
            <w:fldChar w:fldCharType="end"/>
          </w:r>
        </w:p>
      </w:sdtContent>
    </w:sdt>
    <w:p>
      <w:pPr>
        <w:spacing w:after="120"/>
      </w:pPr>
      <w:r>
        <w:t xml:space="preserve">Right-click the table above and choose “Update Field” to fill in page numbers.</w:t>
      </w:r>
    </w:p>
    <w:p>
      <w:r>
        <w:br w:type="page"/>
      </w:r>
    </w:p>
    <w:p>
      <w:pPr>
        <w:pStyle w:val="Heading1"/>
        <w:spacing w:after="120" w:before="280"/>
      </w:pPr>
      <w:bookmarkStart w:name="_Toc2" w:id="2"/>
      <w:r>
        <w:t xml:space="preserve">1. Executive summary</w:t>
      </w:r>
      <w:bookmarkEnd w:id="2"/>
    </w:p>
    <w:p>
      <w:pPr>
        <w:spacing w:after="120"/>
      </w:pPr>
      <w:r>
        <w:t xml:space="preserve">ReqPrep helps a stores officer in a small Ugandan business prepare one purchase requisition at a time. It checks stock against reorder levels, retrieves the procurement rules that apply, compares supplier quotations on a common landed-cost basis, and drafts a requisition with the recommended supplier. It then stops: the officer confirms the supplier and submits, and a separate approver decides. The system issues no purchase order, contacts no supplier and moves no money.</w:t>
      </w:r>
    </w:p>
    <w:p>
      <w:pPr>
        <w:spacing w:after="120"/>
      </w:pPr>
      <w:r>
        <w:t xml:space="preserve">The central design choice is </w:t>
      </w:r>
      <w:r>
        <w:rPr>
          <w:b/>
          <w:bCs/>
        </w:rPr>
        <w:t xml:space="preserve">bounded agency</w:t>
      </w:r>
      <w:r>
        <w:t xml:space="preserve">. The model reads text, explains policy and chooses the next tool, but every figure, eligibility rule, ranking and state change is computed by deterministic code; the agent may call only four allow-listed tools, at most six times per run, and must hand off to a person at two points (H1: confirm the supplier; H2: submit the draft) and at any of eight failure stops (S1–S8).</w:t>
      </w:r>
    </w:p>
    <w:p>
      <w:pPr>
        <w:spacing w:after="120"/>
      </w:pPr>
      <w:r>
        <w:rPr>
          <w:b/>
          <w:bCs/>
        </w:rPr>
        <w:t xml:space="preserve">What was achieved.</w:t>
      </w:r>
      <w:r>
        <w:t xml:space="preserve"> The full workflow runs end to end on real tools, including the project’s reference case, in which the cheapest-looking quotation comes from an excluded supplier and the correct choice is the quotation that looks most expensive. Grounded policy answers passed 15 of 15 evaluation questions in Week 3. A durable case store survives restarts exactly; a confirmed supplier preference is remembered as a hint that never changes the ranking. The test suite has </w:t>
      </w:r>
      <w:r>
        <w:rPr>
          <w:b/>
          <w:bCs/>
        </w:rPr>
        <w:t xml:space="preserve">203 tests and 173 subtests, all passing</w:t>
      </w:r>
      <w:r>
        <w:t xml:space="preserve">. Of the 40 final evaluation scenarios, the 26 that need no model call were run: </w:t>
      </w:r>
      <w:r>
        <w:rPr>
          <w:b/>
          <w:bCs/>
        </w:rPr>
        <w:t xml:space="preserve">25 passed and there were 0 safety violations</w:t>
      </w:r>
      <w:r>
        <w:t xml:space="preserve">.</w:t>
      </w:r>
    </w:p>
    <w:p>
      <w:pPr>
        <w:spacing w:after="120"/>
      </w:pPr>
      <w:r>
        <w:rPr>
          <w:b/>
          <w:bCs/>
        </w:rPr>
        <w:t xml:space="preserve">What is not finished.</w:t>
      </w:r>
      <w:r>
        <w:t xml:space="preserve"> The 14 model-backed evaluation scenarios, including all four adversarial ones, had not been run when this draft was written, so the evaluation cannot yet be declared passed; prompt-injection resistance is mitigated by code but not yet demonstrated at the model. These gaps and the other known limitations are set out in §8 and §10.</w:t>
      </w:r>
    </w:p>
    <w:p>
      <w:pPr>
        <w:pStyle w:val="Heading1"/>
        <w:spacing w:after="120" w:before="280"/>
      </w:pPr>
      <w:bookmarkStart w:name="_Toc3" w:id="3"/>
      <w:r>
        <w:t xml:space="preserve">2. Problem and requirements</w:t>
      </w:r>
      <w:bookmarkEnd w:id="3"/>
    </w:p>
    <w:p>
      <w:pPr>
        <w:pStyle w:val="Heading2"/>
        <w:spacing w:after="80" w:before="200"/>
      </w:pPr>
      <w:bookmarkStart w:name="_Toc4" w:id="4"/>
      <w:r>
        <w:t xml:space="preserve">2.1 Problem</w:t>
      </w:r>
      <w:bookmarkEnd w:id="4"/>
    </w:p>
    <w:p>
      <w:pPr>
        <w:spacing w:after="120"/>
      </w:pPr>
      <w:r>
        <w:t xml:space="preserve">Small and medium buyers run procurement on paper, messaging and a spreadsheet. Reordering is reactive, so shortages become emergency purchases. Quotations arrive in different units, with different VAT treatment and delivery pricing, and are compared by eye under time pressure. The requisition is retyped each time and records no reason for the supplier chosen, so approval is given without evidence. The primary user is the stores officer at a firm of about 20–80 staff, one site, ~150 stock items and 6–10 suppliers, transacting in UGX; the secondary user is the approver.</w:t>
      </w:r>
    </w:p>
    <w:p>
      <w:pPr>
        <w:pStyle w:val="Heading2"/>
        <w:spacing w:after="80" w:before="200"/>
      </w:pPr>
      <w:bookmarkStart w:name="_Toc5" w:id="5"/>
      <w:r>
        <w:t xml:space="preserve">2.2 Scope and boundaries</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In scope</w:t>
            </w:r>
          </w:p>
        </w:tc>
        <w:tc>
          <w:tcPr>
            <w:tcW w:type="dxa" w:w="481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Out of scope (by design)</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stock item per requisition, from reorder signal to approval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Purchase orders, payment, supplier contact</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Quotation reading, landed-cost comparison, policy flags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Autonomous approval at any value</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Draft requisition with justification and citations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Real supplier or company data (synthetic corpus only)</w:t>
            </w:r>
          </w:p>
        </w:tc>
      </w:tr>
      <w:t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Two human gates and an audited state machine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Scanned documents (no OCR)</w:t>
            </w:r>
          </w:p>
        </w:tc>
      </w:tr>
    </w:tbl>
    <w:p>
      <w:pPr>
        <w:spacing w:after="80"/>
      </w:pPr>
    </w:p>
    <w:p>
      <w:pPr>
        <w:pStyle w:val="Heading2"/>
        <w:spacing w:after="80" w:before="200"/>
      </w:pPr>
      <w:bookmarkStart w:name="_Toc6" w:id="6"/>
      <w:r>
        <w:t xml:space="preserve">2.3 Requirements</w:t>
      </w:r>
      <w:bookmarkEnd w:id="6"/>
    </w:p>
    <w:p>
      <w:pPr>
        <w:spacing w:after="120"/>
      </w:pPr>
      <w:r>
        <w:t xml:space="preserve">Twelve user stories with acceptance criteria (</w:t>
      </w:r>
      <w:r>
        <w:rPr>
          <w:rFonts w:ascii="Consolas" w:cs="Consolas" w:eastAsia="Consolas" w:hAnsi="Consolas"/>
          <w:sz w:val="19"/>
          <w:szCs w:val="19"/>
        </w:rPr>
        <w:t xml:space="preserve">docs/requirements/user-stories.md</w:t>
      </w:r>
      <w:r>
        <w:t xml:space="preserve">) cover the workflow spine (US-01 to US-09) and four safety boundaries: authorisation (US-09), honest refusal (US-10), safe stop (US-11) and memory confirmation (US-12). The AI boundary matrix (</w:t>
      </w:r>
      <w:r>
        <w:rPr>
          <w:rFonts w:ascii="Consolas" w:cs="Consolas" w:eastAsia="Consolas" w:hAnsi="Consolas"/>
          <w:sz w:val="19"/>
          <w:szCs w:val="19"/>
        </w:rPr>
        <w:t xml:space="preserve">ai-boundary-matrix.md</w:t>
      </w:r>
      <w:r>
        <w:t xml:space="preserve">) assigns each of 20 workflow decisions to the model, to code or to a person, and states what the AI must never do. Three principles run through the design:</w:t>
      </w:r>
    </w:p>
    <w:p>
      <w:pPr>
        <w:pStyle w:val="ListParagraph"/>
        <w:numPr>
          <w:ilvl w:val="0"/>
          <w:numId w:val="2"/>
        </w:numPr>
        <w:spacing w:after="60"/>
      </w:pPr>
      <w:r>
        <w:rPr>
          <w:b/>
          <w:bCs/>
        </w:rPr>
        <w:t xml:space="preserve">Computed values are authoritative.</w:t>
      </w:r>
      <w:r>
        <w:t xml:space="preserve"> No figure produced by the model is used; the router refuses a model value that differs from the computed one.</w:t>
      </w:r>
    </w:p>
    <w:p>
      <w:pPr>
        <w:pStyle w:val="ListParagraph"/>
        <w:numPr>
          <w:ilvl w:val="0"/>
          <w:numId w:val="2"/>
        </w:numPr>
        <w:spacing w:after="60"/>
      </w:pPr>
      <w:r>
        <w:rPr>
          <w:b/>
          <w:bCs/>
        </w:rPr>
        <w:t xml:space="preserve">No automatic approval path exists.</w:t>
      </w:r>
      <w:r>
        <w:t xml:space="preserve"> Approval is not a tool, and the state machine has no route to APPROVED except an approver’s decision.</w:t>
      </w:r>
    </w:p>
    <w:p>
      <w:pPr>
        <w:pStyle w:val="ListParagraph"/>
        <w:numPr>
          <w:ilvl w:val="0"/>
          <w:numId w:val="2"/>
        </w:numPr>
        <w:spacing w:after="60"/>
      </w:pPr>
      <w:r>
        <w:rPr>
          <w:b/>
          <w:bCs/>
        </w:rPr>
        <w:t xml:space="preserve">The model is never a supplier channel.</w:t>
      </w:r>
      <w:r>
        <w:t xml:space="preserve"> No email, messaging or network path to a supplier exists.</w:t>
      </w:r>
    </w:p>
    <w:p>
      <w:pPr>
        <w:spacing w:after="120"/>
      </w:pPr>
      <w:r>
        <w:t xml:space="preserve">Requirements were checked against the code each week; gaps found were fixed or recorded (for example the Week 5 contract check closed ten gaps). Two acceptance criteria remain unbuilt: proposing an item from free text (US-02 AC1) and the approver’s evidence view (US-08 AC1).</w:t>
      </w:r>
    </w:p>
    <w:p>
      <w:pPr>
        <w:pStyle w:val="Heading1"/>
        <w:spacing w:after="120" w:before="280"/>
      </w:pPr>
      <w:bookmarkStart w:name="_Toc7" w:id="7"/>
      <w:r>
        <w:t xml:space="preserve">3. Architecture</w:t>
      </w:r>
      <w:bookmarkEnd w:id="7"/>
    </w:p>
    <w:p>
      <w:pPr>
        <w:spacing w:after="120"/>
      </w:pPr>
      <w:r>
        <w:t xml:space="preserve">The architecture grew in layers, one per week, each keeping the boundaries of the one before.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891"/>
        <w:gridCol w:w="5784"/>
      </w:tblGrid>
      <w:tr>
        <w:trPr>
          <w:tblHeader/>
        </w:trPr>
        <w:tc>
          <w:tcPr>
            <w:tcW w:type="dxa" w:w="9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Week</w:t>
            </w:r>
          </w:p>
        </w:tc>
        <w:tc>
          <w:tcPr>
            <w:tcW w:type="dxa" w:w="2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Layer added</w:t>
            </w:r>
          </w:p>
        </w:tc>
        <w:tc>
          <w:tcPr>
            <w:tcW w:type="dxa" w:w="57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Key components</w:t>
            </w:r>
          </w:p>
        </w:tc>
      </w:tr>
      <w:t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Model-backed extraction</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rPr>
              <w:t xml:space="preserve">src/quotation_extractor.py</w:t>
            </w:r>
            <w:r>
              <w:rPr>
                <w:sz w:val="18"/>
                <w:szCs w:val="18"/>
              </w:rPr>
              <w:t xml:space="preserve">, </w:t>
            </w:r>
            <w:r>
              <w:rPr>
                <w:rFonts w:ascii="Consolas" w:cs="Consolas" w:eastAsia="Consolas" w:hAnsi="Consolas"/>
                <w:sz w:val="18"/>
                <w:szCs w:val="18"/>
              </w:rPr>
              <w:t xml:space="preserve">src/model_client.py</w:t>
            </w:r>
            <w:r>
              <w:rPr>
                <w:sz w:val="18"/>
                <w:szCs w:val="18"/>
              </w:rPr>
              <w:t xml:space="preserve">, prompt v1.0–v1.2</w:t>
            </w:r>
          </w:p>
        </w:tc>
      </w:tr>
      <w:t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Grounded retrieval (RAG)</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rPr>
              <w:t xml:space="preserve">src/ingestion/</w:t>
            </w:r>
            <w:r>
              <w:rPr>
                <w:sz w:val="18"/>
                <w:szCs w:val="18"/>
              </w:rPr>
              <w:t xml:space="preserve">, </w:t>
            </w:r>
            <w:r>
              <w:rPr>
                <w:rFonts w:ascii="Consolas" w:cs="Consolas" w:eastAsia="Consolas" w:hAnsi="Consolas"/>
                <w:sz w:val="18"/>
                <w:szCs w:val="18"/>
              </w:rPr>
              <w:t xml:space="preserve">src/retrieval/</w:t>
            </w:r>
            <w:r>
              <w:rPr>
                <w:sz w:val="18"/>
                <w:szCs w:val="18"/>
              </w:rPr>
              <w:t xml:space="preserve">, </w:t>
            </w:r>
            <w:r>
              <w:rPr>
                <w:rFonts w:ascii="Consolas" w:cs="Consolas" w:eastAsia="Consolas" w:hAnsi="Consolas"/>
                <w:sz w:val="18"/>
                <w:szCs w:val="18"/>
              </w:rPr>
              <w:t xml:space="preserve">src/rag/answer.py</w:t>
            </w:r>
          </w:p>
        </w:tc>
      </w:tr>
      <w:t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Tools and function calling</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rPr>
              <w:t xml:space="preserve">src/tools/procurement.py</w:t>
            </w:r>
            <w:r>
              <w:rPr>
                <w:sz w:val="18"/>
                <w:szCs w:val="18"/>
              </w:rPr>
              <w:t xml:space="preserve">, </w:t>
            </w:r>
            <w:r>
              <w:rPr>
                <w:rFonts w:ascii="Consolas" w:cs="Consolas" w:eastAsia="Consolas" w:hAnsi="Consolas"/>
                <w:sz w:val="18"/>
                <w:szCs w:val="18"/>
              </w:rPr>
              <w:t xml:space="preserve">src/tools/policy.py</w:t>
            </w:r>
            <w:r>
              <w:rPr>
                <w:sz w:val="18"/>
                <w:szCs w:val="18"/>
              </w:rPr>
              <w:t xml:space="preserve">, </w:t>
            </w:r>
            <w:r>
              <w:rPr>
                <w:rFonts w:ascii="Consolas" w:cs="Consolas" w:eastAsia="Consolas" w:hAnsi="Consolas"/>
                <w:sz w:val="18"/>
                <w:szCs w:val="18"/>
              </w:rPr>
              <w:t xml:space="preserve">src/agent/tools_router.py</w:t>
            </w:r>
            <w:r>
              <w:rPr>
                <w:sz w:val="18"/>
                <w:szCs w:val="18"/>
              </w:rPr>
              <w:t xml:space="preserve">, </w:t>
            </w:r>
            <w:r>
              <w:rPr>
                <w:rFonts w:ascii="Consolas" w:cs="Consolas" w:eastAsia="Consolas" w:hAnsi="Consolas"/>
                <w:sz w:val="18"/>
                <w:szCs w:val="18"/>
              </w:rPr>
              <w:t xml:space="preserve">src/workflow/state_machine.py</w:t>
            </w:r>
          </w:p>
        </w:tc>
      </w:tr>
      <w:t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Bounded agent loop</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rPr>
              <w:t xml:space="preserve">src/agent/loop.py</w:t>
            </w:r>
            <w:r>
              <w:rPr>
                <w:sz w:val="18"/>
                <w:szCs w:val="18"/>
              </w:rPr>
              <w:t xml:space="preserve">, </w:t>
            </w:r>
            <w:r>
              <w:rPr>
                <w:rFonts w:ascii="Consolas" w:cs="Consolas" w:eastAsia="Consolas" w:hAnsi="Consolas"/>
                <w:sz w:val="18"/>
                <w:szCs w:val="18"/>
              </w:rPr>
              <w:t xml:space="preserve">src/agent/stop_codes.py</w:t>
            </w:r>
          </w:p>
        </w:tc>
      </w:tr>
      <w:t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State, memory, interface</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rPr>
              <w:t xml:space="preserve">src/workflow/case_store.py</w:t>
            </w:r>
            <w:r>
              <w:rPr>
                <w:sz w:val="18"/>
                <w:szCs w:val="18"/>
              </w:rPr>
              <w:t xml:space="preserve">, </w:t>
            </w:r>
            <w:r>
              <w:rPr>
                <w:rFonts w:ascii="Consolas" w:cs="Consolas" w:eastAsia="Consolas" w:hAnsi="Consolas"/>
                <w:sz w:val="18"/>
                <w:szCs w:val="18"/>
              </w:rPr>
              <w:t xml:space="preserve">src/memory/</w:t>
            </w:r>
            <w:r>
              <w:rPr>
                <w:sz w:val="18"/>
                <w:szCs w:val="18"/>
              </w:rPr>
              <w:t xml:space="preserve">, MCP-style spec</w:t>
            </w:r>
          </w:p>
        </w:tc>
      </w:tr>
      <w:t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Observability and evaluation</w:t>
            </w:r>
          </w:p>
        </w:tc>
        <w:tc>
          <w:tcPr>
            <w:tcW w:type="dxa" w:w="57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rPr>
              <w:t xml:space="preserve">src/observability/</w:t>
            </w:r>
            <w:r>
              <w:rPr>
                <w:sz w:val="18"/>
                <w:szCs w:val="18"/>
              </w:rPr>
              <w:t xml:space="preserve">, </w:t>
            </w:r>
            <w:r>
              <w:rPr>
                <w:rFonts w:ascii="Consolas" w:cs="Consolas" w:eastAsia="Consolas" w:hAnsi="Consolas"/>
                <w:sz w:val="18"/>
                <w:szCs w:val="18"/>
              </w:rPr>
              <w:t xml:space="preserve">src/validation.py</w:t>
            </w:r>
            <w:r>
              <w:rPr>
                <w:sz w:val="18"/>
                <w:szCs w:val="18"/>
              </w:rPr>
              <w:t xml:space="preserve">, </w:t>
            </w:r>
            <w:r>
              <w:rPr>
                <w:rFonts w:ascii="Consolas" w:cs="Consolas" w:eastAsia="Consolas" w:hAnsi="Consolas"/>
                <w:sz w:val="18"/>
                <w:szCs w:val="18"/>
              </w:rPr>
              <w:t xml:space="preserve">scripts/eval_runner.py</w:t>
            </w:r>
          </w:p>
        </w:tc>
      </w:tr>
    </w:tbl>
    <w:p>
      <w:pPr>
        <w:spacing w:after="80"/>
      </w:pPr>
    </w:p>
    <w:p>
      <w:pPr>
        <w:spacing w:after="120"/>
      </w:pPr>
      <w:r>
        <w:t xml:space="preserve">A request flows through four zones (diagram: </w:t>
      </w:r>
      <w:r>
        <w:rPr>
          <w:rFonts w:ascii="Consolas" w:cs="Consolas" w:eastAsia="Consolas" w:hAnsi="Consolas"/>
          <w:sz w:val="19"/>
          <w:szCs w:val="19"/>
        </w:rPr>
        <w:t xml:space="preserve">docs/architecture/week5-agent-architecture.png</w:t>
      </w:r>
      <w:r>
        <w:t xml:space="preserve">):</w:t>
      </w:r>
    </w:p>
    <w:p>
      <w:pPr>
        <w:pStyle w:val="ListParagraph"/>
        <w:numPr>
          <w:ilvl w:val="0"/>
          <w:numId w:val="3"/>
        </w:numPr>
        <w:spacing w:after="60"/>
      </w:pPr>
      <w:r>
        <w:rPr>
          <w:b/>
          <w:bCs/>
        </w:rPr>
        <w:t xml:space="preserve">Human zone</w:t>
      </w:r>
      <w:r>
        <w:t xml:space="preserve"> — case input, H1 supplier confirmation, H2 submission, and the approver’s decision.</w:t>
      </w:r>
    </w:p>
    <w:p>
      <w:pPr>
        <w:pStyle w:val="ListParagraph"/>
        <w:numPr>
          <w:ilvl w:val="0"/>
          <w:numId w:val="3"/>
        </w:numPr>
        <w:spacing w:after="60"/>
      </w:pPr>
      <w:r>
        <w:rPr>
          <w:b/>
          <w:bCs/>
        </w:rPr>
        <w:t xml:space="preserve">Agent loop</w:t>
      </w:r>
      <w:r>
        <w:t xml:space="preserve"> — Sense → Plan → Act → Observe → Stop, with an iteration counter, a retry allowance and the case state saved at every stop.</w:t>
      </w:r>
    </w:p>
    <w:p>
      <w:pPr>
        <w:pStyle w:val="ListParagraph"/>
        <w:numPr>
          <w:ilvl w:val="0"/>
          <w:numId w:val="3"/>
        </w:numPr>
        <w:spacing w:after="60"/>
      </w:pPr>
      <w:r>
        <w:rPr>
          <w:b/>
          <w:bCs/>
        </w:rPr>
        <w:t xml:space="preserve">Tool router</w:t>
      </w:r>
      <w:r>
        <w:t xml:space="preserve"> — the only component that executes a tool: allow-list, argument and output validation, model-versus-computed checks, and a trace of every call.</w:t>
      </w:r>
    </w:p>
    <w:p>
      <w:pPr>
        <w:pStyle w:val="ListParagraph"/>
        <w:numPr>
          <w:ilvl w:val="0"/>
          <w:numId w:val="3"/>
        </w:numPr>
        <w:spacing w:after="60"/>
      </w:pPr>
      <w:r>
        <w:rPr>
          <w:b/>
          <w:bCs/>
        </w:rPr>
        <w:t xml:space="preserve">Deterministic tools and data</w:t>
      </w:r>
      <w:r>
        <w:t xml:space="preserve"> — inventory, quotations, suppliers, the policy corpus, the case store and the preference store.</w:t>
      </w:r>
    </w:p>
    <w:p>
      <w:pPr>
        <w:spacing w:after="120"/>
      </w:pPr>
      <w:r>
        <w:t xml:space="preserve">Two entry points share the router and controls: </w:t>
      </w:r>
      <w:r>
        <w:rPr>
          <w:rFonts w:ascii="Consolas" w:cs="Consolas" w:eastAsia="Consolas" w:hAnsi="Consolas"/>
          <w:sz w:val="19"/>
          <w:szCs w:val="19"/>
        </w:rPr>
        <w:t xml:space="preserve">run_agent</w:t>
      </w:r>
      <w:r>
        <w:t xml:space="preserve">, with a rule-based planner used for the workflow, evaluation and demonstrations, and </w:t>
      </w:r>
      <w:r>
        <w:rPr>
          <w:rFonts w:ascii="Consolas" w:cs="Consolas" w:eastAsia="Consolas" w:hAnsi="Consolas"/>
          <w:sz w:val="19"/>
          <w:szCs w:val="19"/>
        </w:rPr>
        <w:t xml:space="preserve">run_bounded_tool_agent</w:t>
      </w:r>
      <w:r>
        <w:t xml:space="preserve">, where Gemini chooses the tools. All data is synthetic and team-authored (</w:t>
      </w:r>
      <w:r>
        <w:rPr>
          <w:rFonts w:ascii="Consolas" w:cs="Consolas" w:eastAsia="Consolas" w:hAnsi="Consolas"/>
          <w:sz w:val="19"/>
          <w:szCs w:val="19"/>
        </w:rPr>
        <w:t xml:space="preserve">knowledge/SOURCE-REGISTER.md</w:t>
      </w:r>
      <w:r>
        <w:t xml:space="preserve">).</w:t>
      </w:r>
    </w:p>
    <w:p>
      <w:pPr>
        <w:pStyle w:val="Heading1"/>
        <w:spacing w:after="120" w:before="280"/>
      </w:pPr>
      <w:bookmarkStart w:name="_Toc8" w:id="8"/>
      <w:r>
        <w:t xml:space="preserve">4. Model and prompts</w:t>
      </w:r>
      <w:bookmarkEnd w:id="8"/>
    </w:p>
    <w:p>
      <w:pPr>
        <w:spacing w:after="120"/>
      </w:pPr>
      <w:r>
        <w:t xml:space="preserve">The system model is </w:t>
      </w:r>
      <w:r>
        <w:rPr>
          <w:b/>
          <w:bCs/>
        </w:rPr>
        <w:t xml:space="preserve">Gemini 3.6 Flash</w:t>
      </w:r>
      <w:r>
        <w:t xml:space="preserve"> through the Google AI Studio API, chosen for cost (free tier), latency and adequate structured-output quality (</w:t>
      </w:r>
      <w:r>
        <w:rPr>
          <w:rFonts w:ascii="Consolas" w:cs="Consolas" w:eastAsia="Consolas" w:hAnsi="Consolas"/>
          <w:sz w:val="19"/>
          <w:szCs w:val="19"/>
        </w:rPr>
        <w:t xml:space="preserve">docs/model/model-selection-note.md</w:t>
      </w:r>
      <w:r>
        <w:t xml:space="preserve">). The free tier’s privacy terms are the binding constraint: only synthetic data is used, and no personal data is sent to the model — the confirming officer’s ID is stripped before a supplier preference reaches it. The tier also allows 20 requests a day, which shaped the evaluation plan.</w:t>
      </w:r>
    </w:p>
    <w:p>
      <w:pPr>
        <w:spacing w:after="120"/>
      </w:pPr>
      <w:r>
        <w:t xml:space="preserve">The model is used for four tasks: extracting quotation terms from text, answering policy questions from retrieved evidence, explaining results to the officer, and choosing the next tool in the model-driven loop. It never selects a supplier, computes a figure or changes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2141"/>
        <w:gridCol w:w="5356"/>
      </w:tblGrid>
      <w:tr>
        <w:trPr>
          <w:tblHeader/>
        </w:trPr>
        <w:tc>
          <w:tcPr>
            <w:tcW w:type="dxa" w:w="214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Prompt</w:t>
            </w:r>
          </w:p>
        </w:tc>
        <w:tc>
          <w:tcPr>
            <w:tcW w:type="dxa" w:w="214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Purpose</w:t>
            </w:r>
          </w:p>
        </w:tc>
        <w:tc>
          <w:tcPr>
            <w:tcW w:type="dxa" w:w="535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Key rules</w:t>
            </w:r>
          </w:p>
        </w:tc>
      </w:tr>
      <w:t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Quotation extraction v1.0 → v1.2</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Text to one JSON record</w:t>
            </w:r>
          </w:p>
        </w:tc>
        <w:tc>
          <w:tcPr>
            <w:tcW w:type="dxa" w:w="53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Explicit evidence only; preserve units; report missing fields; note contradictions; instructions inside the quotation are data, never commands</w:t>
            </w:r>
          </w:p>
        </w:tc>
      </w:tr>
      <w:t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Policy Q&amp;A v1.0</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Grounded answers</w:t>
            </w:r>
          </w:p>
        </w:tc>
        <w:tc>
          <w:tcPr>
            <w:tcW w:type="dxa" w:w="53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Answer only from supplied evidence; cite DOC_IDs; fixed refusal text when unsupported</w:t>
            </w:r>
          </w:p>
        </w:tc>
      </w:tr>
      <w:tr>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Tool descriptions</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Function calling</w:t>
            </w:r>
          </w:p>
        </w:tc>
        <w:tc>
          <w:tcPr>
            <w:tcW w:type="dxa" w:w="53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Computed ranking is authoritative; a preference hint is information only; selection and approval belong to people</w:t>
            </w:r>
          </w:p>
        </w:tc>
      </w:tr>
    </w:tbl>
    <w:p>
      <w:pPr>
        <w:spacing w:after="80"/>
      </w:pPr>
    </w:p>
    <w:p>
      <w:pPr>
        <w:spacing w:after="120"/>
      </w:pPr>
      <w:r>
        <w:t xml:space="preserve">Each version was tested: the Week 2 ten-case matrix (complete, missing currency, ambiguous delivery, injected instruction, missing price, multiple items, empty and non-quotation input, conflicting prices, unstated currency) passed </w:t>
      </w:r>
      <w:r>
        <w:rPr>
          <w:b/>
          <w:bCs/>
        </w:rPr>
        <w:t xml:space="preserve">10 of 10</w:t>
      </w:r>
      <w:r>
        <w:t xml:space="preserve"> on the live model.</w:t>
      </w:r>
    </w:p>
    <w:p>
      <w:pPr>
        <w:pStyle w:val="Heading1"/>
        <w:spacing w:after="120" w:before="280"/>
      </w:pPr>
      <w:bookmarkStart w:name="_Toc9" w:id="9"/>
      <w:r>
        <w:t xml:space="preserve">5. Context engineering and RAG</w:t>
      </w:r>
      <w:bookmarkEnd w:id="9"/>
    </w:p>
    <w:p>
      <w:pPr>
        <w:spacing w:after="120"/>
      </w:pPr>
      <w:r>
        <w:t xml:space="preserve">The controlled corpus is one procurement policy, six quotation letters and structured records (15 inventory items, 6 suppliers, 27 quotations). The policy is split by section heading with the section kept in metadata; letters stay whole; each CSV row is one chunk. Questions mentioning a record ID go to structured lookup, others to semantic search with locally computed </w:t>
      </w:r>
      <w:r>
        <w:rPr>
          <w:rFonts w:ascii="Consolas" w:cs="Consolas" w:eastAsia="Consolas" w:hAnsi="Consolas"/>
          <w:sz w:val="19"/>
          <w:szCs w:val="19"/>
        </w:rPr>
        <w:t xml:space="preserve">all-MiniLM-L6-v2</w:t>
      </w:r>
      <w:r>
        <w:t xml:space="preserve"> embeddings. A </w:t>
      </w:r>
      <w:r>
        <w:rPr>
          <w:b/>
          <w:bCs/>
        </w:rPr>
        <w:t xml:space="preserve">0.35 similarity threshold</w:t>
      </w:r>
      <w:r>
        <w:t xml:space="preserve"> returns the fixed refusal without calling the model when nothing relevant is found, and every citation the model returns is checked against the chunks actually retrieved; an invented citation is removed, and an answer left uncited becomes a refusal.</w:t>
      </w:r>
    </w:p>
    <w:p>
      <w:pPr>
        <w:spacing w:after="120"/>
      </w:pPr>
      <w:r>
        <w:t xml:space="preserve">The Week 3 evaluation (5 answerable, 5 partially answerable, 5 unanswerable questions) passed </w:t>
      </w:r>
      <w:r>
        <w:rPr>
          <w:b/>
          <w:bCs/>
        </w:rPr>
        <w:t xml:space="preserve">15 of 15</w:t>
      </w:r>
      <w:r>
        <w:t xml:space="preserve">, with 100% groundedness and 100% refusal accuracy. When 17 quotations were added in Week 5, retrieval for all 15 questions was compared before and after; the four that changed were re-run on Gemini and still passed, including a required refusal.</w:t>
      </w:r>
    </w:p>
    <w:p>
      <w:pPr>
        <w:spacing w:after="120"/>
      </w:pPr>
      <w:r>
        <w:t xml:space="preserve">Three retrieval weaknesses remain open (Failure Catalogue FC-04 to FC-06): citations name the file rather than the clause; the threshold does not separate answerable from unanswerable questions (refusals currently depend on the model following the prompt); and structured lookups bypass the threshold with a fixed score.</w:t>
      </w:r>
    </w:p>
    <w:p>
      <w:pPr>
        <w:pStyle w:val="Heading1"/>
        <w:spacing w:after="120" w:before="280"/>
      </w:pPr>
      <w:bookmarkStart w:name="_Toc10" w:id="10"/>
      <w:r>
        <w:t xml:space="preserve">6. Tools and agentic workflow</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5257"/>
        <w:gridCol w:w="1753"/>
      </w:tblGrid>
      <w:tr>
        <w:trPr>
          <w:tblHeader/>
        </w:trPr>
        <w:tc>
          <w:tcPr>
            <w:tcW w:type="dxa" w:w="262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Tool</w:t>
            </w:r>
          </w:p>
        </w:tc>
        <w:tc>
          <w:tcPr>
            <w:tcW w:type="dxa" w:w="525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Role</w:t>
            </w:r>
          </w:p>
        </w:tc>
        <w:tc>
          <w:tcPr>
            <w:tcW w:type="dxa" w:w="175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Side effect</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rPr>
              <w:t xml:space="preserve">check_reorder_levels</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Items below reorder level, with suggested quantity</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None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rPr>
              <w:t xml:space="preserve">lookup_policy</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Policy section for a topic, or no evidence</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Retrieval log only</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rPr>
              <w:t xml:space="preserve">compare_quotations</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Validity, exclusion, unit and VAT normalisation, landed cost, ranking, policy flags, approval level</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None</w:t>
            </w:r>
          </w:p>
        </w:tc>
      </w:tr>
      <w:tr>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rPr>
              <w:t xml:space="preserve">create_requisition_draft</w:t>
            </w:r>
          </w:p>
        </w:tc>
        <w:tc>
          <w:tcPr>
            <w:tcW w:type="dxa" w:w="52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One DRAFT requisition and an audit event</w:t>
            </w:r>
          </w:p>
        </w:tc>
        <w:tc>
          <w:tcPr>
            <w:tcW w:type="dxa" w:w="17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Simulated (DRAFT only)</w:t>
            </w:r>
          </w:p>
        </w:tc>
      </w:tr>
    </w:tbl>
    <w:p>
      <w:pPr>
        <w:spacing w:after="80"/>
      </w:pPr>
    </w:p>
    <w:p>
      <w:pPr>
        <w:spacing w:after="120"/>
      </w:pPr>
      <w:r>
        <w:t xml:space="preserve">The </w:t>
      </w:r>
      <w:r>
        <w:rPr>
          <w:b/>
          <w:bCs/>
        </w:rPr>
        <w:t xml:space="preserve">agent task contract</w:t>
      </w:r>
      <w:r>
        <w:t xml:space="preserve"> (</w:t>
      </w:r>
      <w:r>
        <w:rPr>
          <w:rFonts w:ascii="Consolas" w:cs="Consolas" w:eastAsia="Consolas" w:hAnsi="Consolas"/>
          <w:sz w:val="19"/>
          <w:szCs w:val="19"/>
        </w:rPr>
        <w:t xml:space="preserve">docs/architecture/agent-task-contract.md</w:t>
      </w:r>
      <w:r>
        <w:t xml:space="preserve">) fixes the goal, tools, state fields, limit, stops and hand-off, and was signed off by its two authors. A normal case runs in two parts:</w:t>
      </w:r>
    </w:p>
    <w:p>
      <w:pPr>
        <w:pStyle w:val="ListParagraph"/>
        <w:numPr>
          <w:ilvl w:val="0"/>
          <w:numId w:val="2"/>
        </w:numPr>
        <w:spacing w:after="60"/>
      </w:pPr>
      <w:r>
        <w:t xml:space="preserve">Run 1: reorder check, two policy lookups (quotation minimum, approval threshold), comparison; stop at </w:t>
      </w:r>
      <w:r>
        <w:rPr>
          <w:b/>
          <w:bCs/>
        </w:rPr>
        <w:t xml:space="preserve">H1</w:t>
      </w:r>
      <w:r>
        <w:t xml:space="preserve">.</w:t>
      </w:r>
    </w:p>
    <w:p>
      <w:pPr>
        <w:pStyle w:val="ListParagraph"/>
        <w:numPr>
          <w:ilvl w:val="0"/>
          <w:numId w:val="2"/>
        </w:numPr>
        <w:spacing w:after="60"/>
      </w:pPr>
      <w:r>
        <w:t xml:space="preserve">The officer confirms the computed supplier (</w:t>
      </w:r>
      <w:r>
        <w:rPr>
          <w:rFonts w:ascii="Consolas" w:cs="Consolas" w:eastAsia="Consolas" w:hAnsi="Consolas"/>
          <w:sz w:val="19"/>
          <w:szCs w:val="19"/>
        </w:rPr>
        <w:t xml:space="preserve">confirm_supplier</w:t>
      </w:r>
      <w:r>
        <w:t xml:space="preserve">); only the computed recommendation can be confirmed.</w:t>
      </w:r>
    </w:p>
    <w:p>
      <w:pPr>
        <w:pStyle w:val="ListParagraph"/>
        <w:numPr>
          <w:ilvl w:val="0"/>
          <w:numId w:val="2"/>
        </w:numPr>
        <w:spacing w:after="60"/>
      </w:pPr>
      <w:r>
        <w:t xml:space="preserve">Run 2 resumes from the saved state, creates the draft, and stops at </w:t>
      </w:r>
      <w:r>
        <w:rPr>
          <w:b/>
          <w:bCs/>
        </w:rPr>
        <w:t xml:space="preserve">H2</w:t>
      </w:r>
      <w:r>
        <w:t xml:space="preserve">. Submission and approval are human actions in the state machine.</w:t>
      </w:r>
    </w:p>
    <w:p>
      <w:pPr>
        <w:spacing w:after="120"/>
      </w:pPr>
      <w:r>
        <w:t xml:space="preserve">Every stop returns a hand-off package — stop reason and contract code, what is outstanding, the full case state and the trace — and is written to the tool trace and audit log. Failure stops are: S1 iteration limit (6 calls), S2 tool failed after one retry, S3 tool not allowed, S4 blocking policy flags, S5 missing, invalid or ambiguous input, S6 policy not found, S7 model value differs from computed, S8 model unavailable. The router refuses any draft without an officer’s H1 confirmation, so even the model-driven loop cannot draft on its own.</w:t>
      </w:r>
    </w:p>
    <w:p>
      <w:pPr>
        <w:pStyle w:val="Heading1"/>
        <w:spacing w:after="120" w:before="280"/>
      </w:pPr>
      <w:bookmarkStart w:name="_Toc11" w:id="11"/>
      <w:r>
        <w:t xml:space="preserve">7. Memory, state and MCP</w:t>
      </w:r>
      <w:bookmarkEnd w:id="11"/>
    </w:p>
    <w:p>
      <w:pPr>
        <w:spacing w:after="120"/>
      </w:pPr>
      <w:r>
        <w:rPr>
          <w:b/>
          <w:bCs/>
        </w:rPr>
        <w:t xml:space="preserve">State.</w:t>
      </w:r>
      <w:r>
        <w:t xml:space="preserve"> Each workflow case is stored in SQLite with its item, quotations, comparison and flags, and every transition is recorded as an event in the same transaction. The state model is OPEN → DRAFT → PENDING_APPROVAL → APPROVED / REJECTED / QUERIED, with HALTED from any active state. Approve, reject and query require a registered approver who did not submit the case; submission is refused while a blocking flag is unresolved. After a restart, cases are rebuilt exactly and only active cases are offered for resume.</w:t>
      </w:r>
    </w:p>
    <w:p>
      <w:pPr>
        <w:spacing w:after="120"/>
      </w:pPr>
      <w:r>
        <w:rPr>
          <w:b/>
          <w:bCs/>
        </w:rPr>
        <w:t xml:space="preserve">Memory.</w:t>
      </w:r>
      <w:r>
        <w:t xml:space="preserve"> One justified memory is kept: the supplier an officer confirmed for an item, shown again as a hint on the next case for that item. Its handling is set out in the memory design note: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Rule</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Implementation</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Written only after explicit human confirmation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Recorded at H1 with the officer’s ID and time; a registered officer or approver only; not a model tool</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Never changes the ranking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comparison never reads memory; tests show a preference cannot promote a supplier, make an excluded supplier eligible or clear a flag</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Retention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 months, then hidden and purged (purge not yet scheduled)</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Deletion and access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Approver-only, audited deletion; listing limited to officer and approver roles</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Data sent to the model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Supplier only; the officer’s ID and time stay on the machine</w:t>
            </w:r>
          </w:p>
        </w:tc>
      </w:tr>
    </w:tbl>
    <w:p>
      <w:pPr>
        <w:spacing w:after="80"/>
      </w:pPr>
    </w:p>
    <w:p>
      <w:pPr>
        <w:spacing w:after="120"/>
      </w:pPr>
      <w:r>
        <w:t xml:space="preserve">An independent security review of the memory found no secrets in any commit and no personal data beyond the staff ID US-12 requires, and fixed one gap (an unregistered ID could be recorded as confirmer). </w:t>
      </w:r>
      <w:r>
        <w:rPr>
          <w:b/>
          <w:bCs/>
        </w:rPr>
        <w:t xml:space="preserve">MCP.</w:t>
      </w:r>
      <w:r>
        <w:t xml:space="preserve"> </w:t>
      </w:r>
      <w:r>
        <w:rPr>
          <w:rFonts w:ascii="Consolas" w:cs="Consolas" w:eastAsia="Consolas" w:hAnsi="Consolas"/>
          <w:sz w:val="19"/>
          <w:szCs w:val="19"/>
        </w:rPr>
        <w:t xml:space="preserve">compare_quotations</w:t>
      </w:r>
      <w:r>
        <w:t xml:space="preserve"> is specified as an MCP-style tool — capability, input and output contracts, permissions, errors and security boundary (</w:t>
      </w:r>
      <w:r>
        <w:rPr>
          <w:rFonts w:ascii="Consolas" w:cs="Consolas" w:eastAsia="Consolas" w:hAnsi="Consolas"/>
          <w:sz w:val="19"/>
          <w:szCs w:val="19"/>
        </w:rPr>
        <w:t xml:space="preserve">docs/architecture/mcp-interface-spec.md</w:t>
      </w:r>
      <w:r>
        <w:t xml:space="preserve">). No MCP server was deployed, and no external integration was attempted.</w:t>
      </w:r>
    </w:p>
    <w:p>
      <w:pPr>
        <w:pStyle w:val="Heading1"/>
        <w:spacing w:after="120" w:before="280"/>
      </w:pPr>
      <w:bookmarkStart w:name="_Toc12" w:id="12"/>
      <w:r>
        <w:t xml:space="preserve">8. Evaluation, observability and guardrails</w:t>
      </w:r>
      <w:bookmarkEnd w:id="12"/>
    </w:p>
    <w:p>
      <w:pPr>
        <w:spacing w:after="120"/>
      </w:pPr>
      <w:r>
        <w:rPr>
          <w:b/>
          <w:bCs/>
        </w:rPr>
        <w:t xml:space="preserve">Scenarios and criteria.</w:t>
      </w:r>
      <w:r>
        <w:t xml:space="preserve"> Forty scenarios (10 normal, 6 edge, 4 incorrect information, 4 adversarial, 3 tool failure, 3 unauthorized, 10 for full user-story coverage) were fixed with their pass criteria, and the thresholds were signed by two owners </w:t>
      </w:r>
      <w:r>
        <w:rPr>
          <w:b/>
          <w:bCs/>
        </w:rPr>
        <w:t xml:space="preserve">before</w:t>
      </w:r>
      <w:r>
        <w:t xml:space="preserve"> the first run: 0 safety violations (a single violation fails the evaluation), task completion ≥ 90% with 100% in the adversarial and unauthorized categories, groundedness 100%, exact tool sequences for the rule-based agent, instruction following ≥ 95%, and latency reported.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4"/>
        <w:gridCol w:w="2141"/>
        <w:gridCol w:w="2143"/>
      </w:tblGrid>
      <w:tr>
        <w:trPr>
          <w:tblHeader/>
        </w:trPr>
        <w:tc>
          <w:tcPr>
            <w:tcW w:type="dxa" w:w="535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Measure (26 automated scenarios, 23 Oct)</w:t>
            </w:r>
          </w:p>
        </w:tc>
        <w:tc>
          <w:tcPr>
            <w:tcW w:type="dxa" w:w="214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Result</w:t>
            </w:r>
          </w:p>
        </w:tc>
        <w:tc>
          <w:tcPr>
            <w:tcW w:type="dxa" w:w="214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Threshold</w:t>
            </w:r>
          </w:p>
        </w:tc>
      </w:tr>
      <w:tr>
        <w:tc>
          <w:tcPr>
            <w:tcW w:type="dxa" w:w="5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Safety violations</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w:t>
            </w:r>
          </w:p>
        </w:tc>
      </w:tr>
      <w:tr>
        <w:tc>
          <w:tcPr>
            <w:tcW w:type="dxa" w:w="5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Task completion</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25 / 26</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 90%</w:t>
            </w:r>
          </w:p>
        </w:tc>
      </w:tr>
      <w:tr>
        <w:tc>
          <w:tcPr>
            <w:tcW w:type="dxa" w:w="5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Unauthorized action</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 / 3</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w:t>
            </w:r>
          </w:p>
        </w:tc>
      </w:tr>
      <w:tr>
        <w:tc>
          <w:tcPr>
            <w:tcW w:type="dxa" w:w="5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Tool selection, rule-based agent</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8 / 8 exact</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w:t>
            </w:r>
          </w:p>
        </w:tc>
      </w:tr>
      <w:tr>
        <w:tc>
          <w:tcPr>
            <w:tcW w:type="dxa" w:w="5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Latency p50 / p95, no model call</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0.04 s / 0.11 s</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p95 ≤ 5 s</w:t>
            </w:r>
          </w:p>
        </w:tc>
      </w:tr>
      <w:tr>
        <w:tc>
          <w:tcPr>
            <w:tcW w:type="dxa" w:w="53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Model-backed scenarios (14, incl. adversarial A01–A04)</w:t>
            </w:r>
          </w:p>
        </w:tc>
        <w:tc>
          <w:tcPr>
            <w:tcW w:type="dxa" w:w="21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Not yet run</w:t>
            </w:r>
          </w:p>
        </w:tc>
        <w:tc>
          <w:tcPr>
            <w:tcW w:type="dxa" w:w="21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w:t>
            </w:r>
          </w:p>
        </w:tc>
      </w:tr>
    </w:tbl>
    <w:p>
      <w:pPr>
        <w:spacing w:after="80"/>
      </w:pPr>
    </w:p>
    <w:p>
      <w:pPr>
        <w:spacing w:after="120"/>
      </w:pPr>
      <w:r>
        <w:t xml:space="preserve">The one failure, T02, is a scenario error: it omitted the date, so its quotation had lapsed; the retry itself worked. Because results had been seen, the correction is to be recorded in </w:t>
      </w:r>
      <w:r>
        <w:rPr>
          <w:rFonts w:ascii="Consolas" w:cs="Consolas" w:eastAsia="Consolas" w:hAnsi="Consolas"/>
          <w:sz w:val="19"/>
          <w:szCs w:val="19"/>
        </w:rPr>
        <w:t xml:space="preserve">criteria.md</w:t>
      </w:r>
      <w:r>
        <w:t xml:space="preserve"> section 7 before re-running.</w:t>
      </w:r>
    </w:p>
    <w:p>
      <w:pPr>
        <w:spacing w:after="120"/>
      </w:pPr>
      <w:r>
        <w:rPr>
          <w:b/>
          <w:bCs/>
        </w:rPr>
        <w:t xml:space="preserve">Observability.</w:t>
      </w:r>
      <w:r>
        <w:t xml:space="preserve"> Every request writes one structured record — model, prompt version, retrieved chunks, tool calls and results, latency, errors and outcome — and any run can be exported (</w:t>
      </w:r>
      <w:r>
        <w:rPr>
          <w:rFonts w:ascii="Consolas" w:cs="Consolas" w:eastAsia="Consolas" w:hAnsi="Consolas"/>
          <w:sz w:val="19"/>
          <w:szCs w:val="19"/>
        </w:rPr>
        <w:t xml:space="preserve">python -m src.observability export &lt;run-id&gt;</w:t>
      </w:r>
      <w:r>
        <w:t xml:space="preserve">).</w:t>
      </w:r>
    </w:p>
    <w:p>
      <w:pPr>
        <w:spacing w:after="120"/>
      </w:pPr>
      <w:r>
        <w:rPr>
          <w:b/>
          <w:bCs/>
        </w:rPr>
        <w:t xml:space="preserve">Guardrails.</w:t>
      </w:r>
      <w:r>
        <w:t xml:space="preserve"> Ten guardrails are documented with code references and tests (</w:t>
      </w:r>
      <w:r>
        <w:rPr>
          <w:rFonts w:ascii="Consolas" w:cs="Consolas" w:eastAsia="Consolas" w:hAnsi="Consolas"/>
          <w:sz w:val="19"/>
          <w:szCs w:val="19"/>
        </w:rPr>
        <w:t xml:space="preserve">docs/evaluation/guardrails-evidence.md</w:t>
      </w:r>
      <w:r>
        <w:t xml:space="preserve">): quantity validation before any tool, item lookup, argument and output validation, allow-list, iteration limit, approval and confirmation controls, and computed-value authority. Prompt injection (G10) is mitigated by code — there is no approval tool, tools are allow-listed and drafts need H1 — but is not yet shown to hold at the model; scenarios A01 and A02 provide that evidence.</w:t>
      </w:r>
    </w:p>
    <w:p>
      <w:pPr>
        <w:spacing w:after="120"/>
      </w:pPr>
      <w:r>
        <w:rPr>
          <w:b/>
          <w:bCs/>
        </w:rPr>
        <w:t xml:space="preserve">Failure Catalogue.</w:t>
      </w:r>
      <w:r>
        <w:t xml:space="preserve"> Eight genuine failures since Week 3 are recorded with symptom, root cause, fix and re-test, for example: invalid quantities ran five tool calls before stopping (fixed by validation before the loop); the evaluation runner confirmed suppliers from inside the application source (moved out); a smoke run wrote into the real trace log (isolated); retries exhausted the Gemini quota (back-off added). Three retrieval failures remain open (§5).</w:t>
      </w:r>
    </w:p>
    <w:p>
      <w:pPr>
        <w:pStyle w:val="Heading1"/>
        <w:spacing w:after="120" w:before="280"/>
      </w:pPr>
      <w:bookmarkStart w:name="_Toc13" w:id="13"/>
      <w:r>
        <w:t xml:space="preserve">9. Software engineering quality and deployment</w:t>
      </w:r>
      <w:bookmarkEnd w:id="13"/>
    </w:p>
    <w:p>
      <w:pPr>
        <w:pStyle w:val="ListParagraph"/>
        <w:numPr>
          <w:ilvl w:val="0"/>
          <w:numId w:val="3"/>
        </w:numPr>
        <w:spacing w:after="60"/>
      </w:pPr>
      <w:r>
        <w:rPr>
          <w:b/>
          <w:bCs/>
        </w:rPr>
        <w:t xml:space="preserve">Testing.</w:t>
      </w:r>
      <w:r>
        <w:t xml:space="preserve"> 203 tests and 173 subtests, all passing, across tools, router, loop, state machine, stores, memory, observability and guardrails. Shared fixtures keep every test off the real database, logs and evidence.</w:t>
      </w:r>
    </w:p>
    <w:p>
      <w:pPr>
        <w:pStyle w:val="ListParagraph"/>
        <w:numPr>
          <w:ilvl w:val="0"/>
          <w:numId w:val="3"/>
        </w:numPr>
        <w:spacing w:after="60"/>
      </w:pPr>
      <w:r>
        <w:rPr>
          <w:b/>
          <w:bCs/>
        </w:rPr>
        <w:t xml:space="preserve">Continuous integration.</w:t>
      </w:r>
      <w:r>
        <w:t xml:space="preserve"> GitHub Actions runs the suite on every push and pull request to </w:t>
      </w:r>
      <w:r>
        <w:rPr>
          <w:rFonts w:ascii="Consolas" w:cs="Consolas" w:eastAsia="Consolas" w:hAnsi="Consolas"/>
          <w:sz w:val="19"/>
          <w:szCs w:val="19"/>
        </w:rPr>
        <w:t xml:space="preserve">main</w:t>
      </w:r>
      <w:r>
        <w:t xml:space="preserve">; CI is green (</w:t>
      </w:r>
      <w:r>
        <w:rPr>
          <w:rFonts w:ascii="Consolas" w:cs="Consolas" w:eastAsia="Consolas" w:hAnsi="Consolas"/>
          <w:sz w:val="19"/>
          <w:szCs w:val="19"/>
        </w:rPr>
        <w:t xml:space="preserve">evidence/screenshots/week7/</w:t>
      </w:r>
      <w:r>
        <w:t xml:space="preserve">).</w:t>
      </w:r>
    </w:p>
    <w:p>
      <w:pPr>
        <w:pStyle w:val="ListParagraph"/>
        <w:numPr>
          <w:ilvl w:val="0"/>
          <w:numId w:val="3"/>
        </w:numPr>
        <w:spacing w:after="60"/>
      </w:pPr>
      <w:r>
        <w:rPr>
          <w:b/>
          <w:bCs/>
        </w:rPr>
        <w:t xml:space="preserve">Process.</w:t>
      </w:r>
      <w:r>
        <w:t xml:space="preserve"> Work tracked in ClickUp; changes reviewed through pull requests; weekly reports and an evidence index; owner reviews recorded for changed areas (</w:t>
      </w:r>
      <w:r>
        <w:rPr>
          <w:rFonts w:ascii="Consolas" w:cs="Consolas" w:eastAsia="Consolas" w:hAnsi="Consolas"/>
          <w:sz w:val="19"/>
          <w:szCs w:val="19"/>
        </w:rPr>
        <w:t xml:space="preserve">docs/reviews/</w:t>
      </w:r>
      <w:r>
        <w:t xml:space="preserve">).</w:t>
      </w:r>
    </w:p>
    <w:p>
      <w:pPr>
        <w:pStyle w:val="ListParagraph"/>
        <w:numPr>
          <w:ilvl w:val="0"/>
          <w:numId w:val="3"/>
        </w:numPr>
        <w:spacing w:after="60"/>
      </w:pPr>
      <w:r>
        <w:rPr>
          <w:b/>
          <w:bCs/>
        </w:rPr>
        <w:t xml:space="preserve">Secrets.</w:t>
      </w:r>
      <w:r>
        <w:t xml:space="preserve"> The API key lives in a git-ignored </w:t>
      </w:r>
      <w:r>
        <w:rPr>
          <w:rFonts w:ascii="Consolas" w:cs="Consolas" w:eastAsia="Consolas" w:hAnsi="Consolas"/>
          <w:sz w:val="19"/>
          <w:szCs w:val="19"/>
        </w:rPr>
        <w:t xml:space="preserve">.env</w:t>
      </w:r>
      <w:r>
        <w:t xml:space="preserve">; </w:t>
      </w:r>
      <w:r>
        <w:rPr>
          <w:rFonts w:ascii="Consolas" w:cs="Consolas" w:eastAsia="Consolas" w:hAnsi="Consolas"/>
          <w:sz w:val="19"/>
          <w:szCs w:val="19"/>
        </w:rPr>
        <w:t xml:space="preserve">.env.example</w:t>
      </w:r>
      <w:r>
        <w:t xml:space="preserve"> lists the fields. A scan of every commit on every branch found no key, token or password.</w:t>
      </w:r>
    </w:p>
    <w:p>
      <w:pPr>
        <w:pStyle w:val="ListParagraph"/>
        <w:numPr>
          <w:ilvl w:val="0"/>
          <w:numId w:val="3"/>
        </w:numPr>
        <w:spacing w:after="60"/>
      </w:pPr>
      <w:r>
        <w:rPr>
          <w:b/>
          <w:bCs/>
        </w:rPr>
        <w:t xml:space="preserve">Responsible AI use.</w:t>
      </w:r>
      <w:r>
        <w:t xml:space="preserve"> Every material AI-assisted artefact is recorded in </w:t>
      </w:r>
      <w:r>
        <w:rPr>
          <w:rFonts w:ascii="Consolas" w:cs="Consolas" w:eastAsia="Consolas" w:hAnsi="Consolas"/>
          <w:sz w:val="19"/>
          <w:szCs w:val="19"/>
        </w:rPr>
        <w:t xml:space="preserve">docs/ai-engineering-log.md</w:t>
      </w:r>
      <w:r>
        <w:t xml:space="preserve"> with how it was reviewed and changed.</w:t>
      </w:r>
    </w:p>
    <w:p>
      <w:pPr>
        <w:spacing w:after="120"/>
      </w:pPr>
      <w:r>
        <w:rPr>
          <w:b/>
          <w:bCs/>
        </w:rPr>
        <w:t xml:space="preserve">Deployment status at the time of writing.</w:t>
      </w:r>
      <w:r>
        <w:t xml:space="preserve"> The release work (W8-03) is outstanding: </w:t>
      </w:r>
      <w:r>
        <w:rPr>
          <w:rFonts w:ascii="Consolas" w:cs="Consolas" w:eastAsia="Consolas" w:hAnsi="Consolas"/>
          <w:sz w:val="19"/>
          <w:szCs w:val="19"/>
        </w:rPr>
        <w:t xml:space="preserve">README.md</w:t>
      </w:r>
      <w:r>
        <w:t xml:space="preserve"> still lacks prerequisites, a one-command run and test/evaluation instructions; the fresh-clone test on a second machine and the </w:t>
      </w:r>
      <w:r>
        <w:rPr>
          <w:rFonts w:ascii="Consolas" w:cs="Consolas" w:eastAsia="Consolas" w:hAnsi="Consolas"/>
          <w:sz w:val="19"/>
          <w:szCs w:val="19"/>
        </w:rPr>
        <w:t xml:space="preserve">v1.0.0</w:t>
      </w:r>
      <w:r>
        <w:t xml:space="preserve"> tag have not been done.</w:t>
      </w:r>
    </w:p>
    <w:p>
      <w:pPr>
        <w:pStyle w:val="Heading1"/>
        <w:spacing w:after="120" w:before="280"/>
      </w:pPr>
      <w:bookmarkStart w:name="_Toc14" w:id="14"/>
      <w:r>
        <w:t xml:space="preserve">10. Results and reflection</w:t>
      </w:r>
      <w:bookmarkEnd w:id="14"/>
    </w:p>
    <w:p>
      <w:pPr>
        <w:pStyle w:val="Heading2"/>
        <w:spacing w:after="80" w:before="200"/>
      </w:pPr>
      <w:bookmarkStart w:name="_Toc15" w:id="15"/>
      <w:r>
        <w:t xml:space="preserve">10.1 Results against the objectives</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Objective</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Outcome</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Comparable pricing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Met: unit, VAT and delivery normalised; reference case ranked correctly</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Grounded, honest answers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Met in Week 3 (15/15); retrieval weaknesses FC-04–06 open</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Bounded agency with human gates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Met: limit, stops, H1/H2, no approval path; 0 safety violations in 26 scenarios</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Resumable state and safe memory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Met: exact restart, confirmed hint-only memory with retention and deletion</w:t>
            </w:r>
          </w:p>
        </w:tc>
      </w:tr>
      <w:t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Full evaluation against agreed thresholds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Partly met:</w:t>
            </w:r>
            <w:r>
              <w:rPr>
                <w:sz w:val="18"/>
                <w:szCs w:val="18"/>
              </w:rPr>
              <w:t xml:space="preserve"> 26 of 40 scenarios run; model-backed and adversarial scenarios outstanding</w:t>
            </w:r>
          </w:p>
        </w:tc>
      </w:tr>
    </w:tbl>
    <w:p>
      <w:pPr>
        <w:spacing w:after="80"/>
      </w:pPr>
    </w:p>
    <w:p>
      <w:pPr>
        <w:pStyle w:val="Heading2"/>
        <w:spacing w:after="80" w:before="200"/>
      </w:pPr>
      <w:bookmarkStart w:name="_Toc16" w:id="16"/>
      <w:r>
        <w:t xml:space="preserve">10.2 Known limitations</w:t>
      </w:r>
      <w:bookmarkEnd w:id="16"/>
    </w:p>
    <w:p>
      <w:pPr>
        <w:pStyle w:val="ListParagraph"/>
        <w:numPr>
          <w:ilvl w:val="0"/>
          <w:numId w:val="3"/>
        </w:numPr>
        <w:spacing w:after="60"/>
      </w:pPr>
      <w:r>
        <w:t xml:space="preserve">One stock item per requisition; text quotations only (no OCR); synthetic data only.</w:t>
      </w:r>
    </w:p>
    <w:p>
      <w:pPr>
        <w:pStyle w:val="ListParagraph"/>
        <w:numPr>
          <w:ilvl w:val="0"/>
          <w:numId w:val="3"/>
        </w:numPr>
        <w:spacing w:after="60"/>
      </w:pPr>
      <w:r>
        <w:t xml:space="preserve">Identity is asserted, not authenticated: there is no login, so anyone supplying an approver’s ID is treated as one.</w:t>
      </w:r>
    </w:p>
    <w:p>
      <w:pPr>
        <w:pStyle w:val="ListParagraph"/>
        <w:numPr>
          <w:ilvl w:val="0"/>
          <w:numId w:val="3"/>
        </w:numPr>
        <w:spacing w:after="60"/>
      </w:pPr>
      <w:r>
        <w:t xml:space="preserve">Prompt-injection resistance not yet demonstrated at the model (A01–A04 pending).</w:t>
      </w:r>
    </w:p>
    <w:p>
      <w:pPr>
        <w:pStyle w:val="ListParagraph"/>
        <w:numPr>
          <w:ilvl w:val="0"/>
          <w:numId w:val="3"/>
        </w:numPr>
        <w:spacing w:after="60"/>
      </w:pPr>
      <w:r>
        <w:t xml:space="preserve">Retrieval: document-level citations, an uncalibrated threshold, and a structured-lookup bypass.</w:t>
      </w:r>
    </w:p>
    <w:p>
      <w:pPr>
        <w:pStyle w:val="ListParagraph"/>
        <w:numPr>
          <w:ilvl w:val="0"/>
          <w:numId w:val="3"/>
        </w:numPr>
        <w:spacing w:after="60"/>
      </w:pPr>
      <w:r>
        <w:t xml:space="preserve">The agent loop does not yet save its own state to the case store, so an agent run cannot be resumed after the application closes; no approver interface exists.</w:t>
      </w:r>
    </w:p>
    <w:p>
      <w:pPr>
        <w:pStyle w:val="Heading2"/>
        <w:spacing w:after="80" w:before="200"/>
      </w:pPr>
      <w:bookmarkStart w:name="_Toc17" w:id="17"/>
      <w:r>
        <w:t xml:space="preserve">10.3 Reflection</w:t>
      </w:r>
      <w:bookmarkEnd w:id="17"/>
    </w:p>
    <w:p>
      <w:pPr>
        <w:spacing w:after="120"/>
      </w:pPr>
      <w:r>
        <w:rPr>
          <w:b/>
          <w:bCs/>
        </w:rPr>
        <w:t xml:space="preserve">What worked.</w:t>
      </w:r>
      <w:r>
        <w:t xml:space="preserve"> Writing the boundaries first — the AI boundary matrix, then the agent task contract — and checking the code against them each week found real defects early: drafts without officer confirmation, a skipped self-approval check, invalid quantities reaching the tools. Keeping every figure in code made the model’s mistakes harmless rather than invisible. Agreeing thresholds before running kept the evaluation honest.</w:t>
      </w:r>
    </w:p>
    <w:p>
      <w:pPr>
        <w:spacing w:after="120"/>
      </w:pPr>
      <w:r>
        <w:rPr>
          <w:b/>
          <w:bCs/>
        </w:rPr>
        <w:t xml:space="preserve">What we would change.</w:t>
      </w:r>
      <w:r>
        <w:t xml:space="preserve"> Evaluation started too late: model-backed scenarios compete for a 20-request daily quota, and leaving them to the final week left the adversarial evidence unfinished. The synthetic quotations aged out of their validity windows, which had to be handled with an explicit as-of date. Uneven availability meant some work was completed by teammates other than its owner; recording stand-in reviews openly, and asking owners to confirm later, kept the record accurate.</w:t>
      </w:r>
    </w:p>
    <w:p>
      <w:pPr>
        <w:spacing w:after="120"/>
      </w:pPr>
      <w:r>
        <w:rPr>
          <w:b/>
          <w:bCs/>
        </w:rPr>
        <w:t xml:space="preserve">Use of AI in engineering.</w:t>
      </w:r>
      <w:r>
        <w:t xml:space="preserve"> AI assistance was used throughout and logged with how each output was reviewed. Its value came from pairing it with checks the team controlled — running the tools to verify every expected value, scanning history for secrets, and reading traces rather than trusting summaries.</w:t>
      </w:r>
    </w:p>
    <w:p>
      <w:r>
        <w:br w:type="page"/>
      </w:r>
    </w:p>
    <w:p>
      <w:pPr>
        <w:pStyle w:val="Heading1"/>
        <w:spacing w:after="120" w:before="280"/>
      </w:pPr>
      <w:bookmarkStart w:name="_Toc18" w:id="18"/>
      <w:r>
        <w:t xml:space="preserve">Appendices</w:t>
      </w:r>
      <w:bookmarkEnd w:id="18"/>
    </w:p>
    <w:p>
      <w:pPr>
        <w:pStyle w:val="Heading2"/>
        <w:spacing w:after="80" w:before="200"/>
      </w:pPr>
      <w:bookmarkStart w:name="_Toc19" w:id="19"/>
      <w:r>
        <w:t xml:space="preserve">A. User stories and evaluation coverage</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Story</w:t>
            </w:r>
          </w:p>
        </w:tc>
        <w:tc>
          <w:tcPr>
            <w:tcW w:type="dxa" w:w="602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sz w:val="18"/>
                <w:szCs w:val="18"/>
              </w:rPr>
              <w:t xml:space="preserve">Scenarios</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US-01 Reorder visibility</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N07, E01, E06</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US-02 Opening a case</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E04, E05, X04</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US-03 Reading quotations</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N10, E02, I01, I02, I04, A01, T03</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US-04 Comparable pricing</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N01, N03, N05, N06, E03, I01–I03</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US-05 Justified recommendation</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N01–N03, E03, I03, A02, A04</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US-06 Policy flags</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N01, N04, X10</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US-07 Draft and submit</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N01, N02, A04, X08, X09</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US-08 Approving with evidence</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X07</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US-09 Authorisation</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A03, U01, U02</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US-10 Honest refusal</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N08, N09, A02, X05, X06</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US-11 Safe stop</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T01–T03, U03, X01</w:t>
            </w:r>
          </w:p>
        </w:tc>
      </w:tr>
      <w:tr>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US-12 Resuming a case</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X02, X03</w:t>
            </w:r>
          </w:p>
        </w:tc>
      </w:tr>
    </w:tbl>
    <w:p>
      <w:pPr>
        <w:spacing w:after="80"/>
      </w:pPr>
    </w:p>
    <w:p>
      <w:pPr>
        <w:pStyle w:val="Heading2"/>
        <w:spacing w:after="80" w:before="200"/>
      </w:pPr>
      <w:bookmarkStart w:name="_Toc20" w:id="20"/>
      <w:r>
        <w:t xml:space="preserve">B. Prompts</w:t>
      </w:r>
      <w:bookmarkEnd w:id="20"/>
    </w:p>
    <w:p>
      <w:pPr>
        <w:spacing w:after="120"/>
      </w:pPr>
      <w:r>
        <w:rPr>
          <w:rFonts w:ascii="Consolas" w:cs="Consolas" w:eastAsia="Consolas" w:hAnsi="Consolas"/>
          <w:sz w:val="19"/>
          <w:szCs w:val="19"/>
        </w:rPr>
        <w:t xml:space="preserve">prompts/quotation_extraction_v1.0.txt</w:t>
      </w:r>
      <w:r>
        <w:t xml:space="preserve">, </w:t>
      </w:r>
      <w:r>
        <w:rPr>
          <w:rFonts w:ascii="Consolas" w:cs="Consolas" w:eastAsia="Consolas" w:hAnsi="Consolas"/>
          <w:sz w:val="19"/>
          <w:szCs w:val="19"/>
        </w:rPr>
        <w:t xml:space="preserve">v1.1</w:t>
      </w:r>
      <w:r>
        <w:t xml:space="preserve">, </w:t>
      </w:r>
      <w:r>
        <w:rPr>
          <w:rFonts w:ascii="Consolas" w:cs="Consolas" w:eastAsia="Consolas" w:hAnsi="Consolas"/>
          <w:sz w:val="19"/>
          <w:szCs w:val="19"/>
        </w:rPr>
        <w:t xml:space="preserve">v1.2</w:t>
      </w:r>
      <w:r>
        <w:t xml:space="preserve">; </w:t>
      </w:r>
      <w:r>
        <w:rPr>
          <w:rFonts w:ascii="Consolas" w:cs="Consolas" w:eastAsia="Consolas" w:hAnsi="Consolas"/>
          <w:sz w:val="19"/>
          <w:szCs w:val="19"/>
        </w:rPr>
        <w:t xml:space="preserve">prompts/policy-qa/v1.0.md</w:t>
      </w:r>
      <w:r>
        <w:t xml:space="preserve">; tool descriptions in </w:t>
      </w:r>
      <w:r>
        <w:rPr>
          <w:rFonts w:ascii="Consolas" w:cs="Consolas" w:eastAsia="Consolas" w:hAnsi="Consolas"/>
          <w:sz w:val="19"/>
          <w:szCs w:val="19"/>
        </w:rPr>
        <w:t xml:space="preserve">src/agent/tools_router.py</w:t>
      </w:r>
      <w:r>
        <w:t xml:space="preserve">.</w:t>
      </w:r>
    </w:p>
    <w:p>
      <w:pPr>
        <w:pStyle w:val="Heading2"/>
        <w:spacing w:after="80" w:before="200"/>
      </w:pPr>
      <w:bookmarkStart w:name="_Toc21" w:id="21"/>
      <w:r>
        <w:t xml:space="preserve">C. Tool schemas</w:t>
      </w:r>
      <w:bookmarkEnd w:id="21"/>
    </w:p>
    <w:p>
      <w:pPr>
        <w:spacing w:after="120"/>
      </w:pPr>
      <w:r>
        <w:t xml:space="preserve">Contracts in </w:t>
      </w:r>
      <w:r>
        <w:rPr>
          <w:rFonts w:ascii="Consolas" w:cs="Consolas" w:eastAsia="Consolas" w:hAnsi="Consolas"/>
          <w:sz w:val="19"/>
          <w:szCs w:val="19"/>
        </w:rPr>
        <w:t xml:space="preserve">docs/architecture/tool-catalogue.md</w:t>
      </w:r>
      <w:r>
        <w:t xml:space="preserve">; MCP-style specification of </w:t>
      </w:r>
      <w:r>
        <w:rPr>
          <w:rFonts w:ascii="Consolas" w:cs="Consolas" w:eastAsia="Consolas" w:hAnsi="Consolas"/>
          <w:sz w:val="19"/>
          <w:szCs w:val="19"/>
        </w:rPr>
        <w:t xml:space="preserve">compare_quotations</w:t>
      </w:r>
      <w:r>
        <w:t xml:space="preserve"> in </w:t>
      </w:r>
      <w:r>
        <w:rPr>
          <w:rFonts w:ascii="Consolas" w:cs="Consolas" w:eastAsia="Consolas" w:hAnsi="Consolas"/>
          <w:sz w:val="19"/>
          <w:szCs w:val="19"/>
        </w:rPr>
        <w:t xml:space="preserve">docs/architecture/mcp-interface-spec.md</w:t>
      </w:r>
      <w:r>
        <w:t xml:space="preserve">.</w:t>
      </w:r>
    </w:p>
    <w:p>
      <w:pPr>
        <w:pStyle w:val="Heading2"/>
        <w:spacing w:after="80" w:before="200"/>
      </w:pPr>
      <w:bookmarkStart w:name="_Toc22" w:id="22"/>
      <w:r>
        <w:t xml:space="preserve">D. Traces and evidence</w:t>
      </w:r>
      <w:bookmarkEnd w:id="22"/>
    </w:p>
    <w:p>
      <w:pPr>
        <w:spacing w:after="120"/>
      </w:pPr>
      <w:r>
        <w:t xml:space="preserve">Index: </w:t>
      </w:r>
      <w:r>
        <w:rPr>
          <w:rFonts w:ascii="Consolas" w:cs="Consolas" w:eastAsia="Consolas" w:hAnsi="Consolas"/>
          <w:sz w:val="19"/>
          <w:szCs w:val="19"/>
        </w:rPr>
        <w:t xml:space="preserve">evidence/README.md</w:t>
      </w:r>
      <w:r>
        <w:t xml:space="preserve"> and </w:t>
      </w:r>
      <w:r>
        <w:rPr>
          <w:rFonts w:ascii="Consolas" w:cs="Consolas" w:eastAsia="Consolas" w:hAnsi="Consolas"/>
          <w:sz w:val="19"/>
          <w:szCs w:val="19"/>
        </w:rPr>
        <w:t xml:space="preserve">evidence/traces/README.md</w:t>
      </w:r>
      <w:r>
        <w:t xml:space="preserve">. Week 5 agent traces (</w:t>
      </w:r>
      <w:r>
        <w:rPr>
          <w:rFonts w:ascii="Consolas" w:cs="Consolas" w:eastAsia="Consolas" w:hAnsi="Consolas"/>
          <w:sz w:val="19"/>
          <w:szCs w:val="19"/>
        </w:rPr>
        <w:t xml:space="preserve">evidence/traces/week5/</w:t>
      </w:r>
      <w:r>
        <w:t xml:space="preserve">), Week 7 structured traces (</w:t>
      </w:r>
      <w:r>
        <w:rPr>
          <w:rFonts w:ascii="Consolas" w:cs="Consolas" w:eastAsia="Consolas" w:hAnsi="Consolas"/>
          <w:sz w:val="19"/>
          <w:szCs w:val="19"/>
        </w:rPr>
        <w:t xml:space="preserve">evidence/traces/week7/</w:t>
      </w:r>
      <w:r>
        <w:t xml:space="preserve">), evaluation run </w:t>
      </w:r>
      <w:r>
        <w:rPr>
          <w:rFonts w:ascii="Consolas" w:cs="Consolas" w:eastAsia="Consolas" w:hAnsi="Consolas"/>
          <w:sz w:val="19"/>
          <w:szCs w:val="19"/>
        </w:rPr>
        <w:t xml:space="preserve">evidence/eval/20261023T020535Z/</w:t>
      </w:r>
      <w:r>
        <w:t xml:space="preserve">, demonstrations </w:t>
      </w:r>
      <w:r>
        <w:rPr>
          <w:rFonts w:ascii="Consolas" w:cs="Consolas" w:eastAsia="Consolas" w:hAnsi="Consolas"/>
          <w:sz w:val="19"/>
          <w:szCs w:val="19"/>
        </w:rPr>
        <w:t xml:space="preserve">evidence/demo/week4–6/</w:t>
      </w:r>
      <w:r>
        <w:t xml:space="preserve">.</w:t>
      </w:r>
    </w:p>
    <w:p>
      <w:pPr>
        <w:pStyle w:val="Heading2"/>
        <w:spacing w:after="80" w:before="200"/>
      </w:pPr>
      <w:bookmarkStart w:name="_Toc23" w:id="23"/>
      <w:r>
        <w:t xml:space="preserve">E. AI Engineering Log summary</w:t>
      </w:r>
      <w:bookmarkEnd w:id="23"/>
    </w:p>
    <w:p>
      <w:pPr>
        <w:spacing w:after="120"/>
      </w:pPr>
      <w:r>
        <w:t xml:space="preserve">Eighteen entries (</w:t>
      </w:r>
      <w:r>
        <w:rPr>
          <w:rFonts w:ascii="Consolas" w:cs="Consolas" w:eastAsia="Consolas" w:hAnsi="Consolas"/>
          <w:sz w:val="19"/>
          <w:szCs w:val="19"/>
        </w:rPr>
        <w:t xml:space="preserve">docs/ai-engineering-log.md</w:t>
      </w:r>
      <w:r>
        <w:t xml:space="preserve">) from all five members cover tool selection, evaluation design, the state machine draft, contract checks, the memory note and its security reviews, the evaluation runner, observability and the reports. Each records the AI tool, what it produced, how it was reviewed, what was changed and why it was accepted.</w:t>
      </w:r>
    </w:p>
    <w:p>
      <w:pPr>
        <w:pStyle w:val="Heading2"/>
        <w:spacing w:after="80" w:before="200"/>
      </w:pPr>
      <w:bookmarkStart w:name="_Toc24" w:id="24"/>
      <w:r>
        <w:t xml:space="preserve">References</w:t>
      </w:r>
      <w:bookmarkEnd w:id="24"/>
    </w:p>
    <w:p>
      <w:pPr>
        <w:pStyle w:val="ListParagraph"/>
        <w:numPr>
          <w:ilvl w:val="0"/>
          <w:numId w:val="3"/>
        </w:numPr>
        <w:spacing w:after="60"/>
      </w:pPr>
      <w:r>
        <w:t xml:space="preserve">Reimers, N. and Gurevych, I. (2019). Sentence-BERT: Sentence Embeddings using Siamese BERT-Networks. Proceedings of EMNLP-IJCNLP 2019.</w:t>
      </w:r>
    </w:p>
    <w:p>
      <w:pPr>
        <w:pStyle w:val="ListParagraph"/>
        <w:numPr>
          <w:ilvl w:val="0"/>
          <w:numId w:val="3"/>
        </w:numPr>
        <w:spacing w:after="60"/>
      </w:pPr>
      <w:r>
        <w:t xml:space="preserve">Google. Gemini API documentation, Google AI Studio (ai.google.dev).</w:t>
      </w:r>
    </w:p>
    <w:p>
      <w:pPr>
        <w:pStyle w:val="ListParagraph"/>
        <w:numPr>
          <w:ilvl w:val="0"/>
          <w:numId w:val="3"/>
        </w:numPr>
        <w:spacing w:after="60"/>
      </w:pPr>
      <w:r>
        <w:t xml:space="preserve">Model Context Protocol specification (modelcontextprotocol.io).</w:t>
      </w:r>
    </w:p>
    <w:p>
      <w:pPr>
        <w:pStyle w:val="ListParagraph"/>
        <w:numPr>
          <w:ilvl w:val="0"/>
          <w:numId w:val="3"/>
        </w:numPr>
        <w:spacing w:after="60"/>
      </w:pPr>
      <w:r>
        <w:t xml:space="preserve">GROUP-T project repository: requirements, architecture, evaluation and evidence documents cited above.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ReqPrep — Final Engineering Report (draft v0.9)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b/>
      <w:bCs/>
      <w:color w:val="1F3864"/>
      <w:sz w:val="30"/>
      <w:szCs w:val="30"/>
    </w:rPr>
  </w:style>
  <w:style w:type="paragraph" w:styleId="Heading2">
    <w:name w:val="Heading 2"/>
    <w:basedOn w:val="Normal"/>
    <w:next w:val="Normal"/>
    <w:qFormat/>
    <w:pPr>
      <w:spacing w:after="80" w:before="200"/>
      <w:outlineLvl w:val="1"/>
    </w:pPr>
    <w:rPr>
      <w:b/>
      <w:bCs/>
      <w:color w:val="2E539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ReqPrep Final Engineering Report</dc:title>
  <dc:creator>GROUP-T</dc:creator>
  <cp:lastModifiedBy>Un-named</cp:lastModifiedBy>
  <cp:revision>1</cp:revision>
  <dcterms:created xsi:type="dcterms:W3CDTF">2026-10-23T17:05:11.924Z</dcterms:created>
  <dcterms:modified xsi:type="dcterms:W3CDTF">2026-10-23T17:05:11.927Z</dcterms:modified>
</cp:coreProperties>
</file>

<file path=docProps/custom.xml><?xml version="1.0" encoding="utf-8"?>
<Properties xmlns="http://schemas.openxmlformats.org/officeDocument/2006/custom-properties" xmlns:vt="http://schemas.openxmlformats.org/officeDocument/2006/docPropsVTypes"/>
</file>