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676A3"/>
          <w:sz w:val="22"/>
        </w:rPr>
        <w:t>PUL GLOBAL PARTNERS</w:t>
      </w:r>
    </w:p>
    <w:p>
      <w:pPr>
        <w:pStyle w:val="Title"/>
      </w:pPr>
      <w:r>
        <w:t>Website Design &amp; Development Brief</w:t>
      </w:r>
    </w:p>
    <w:p>
      <w:pPr>
        <w:pStyle w:val="Subtitle"/>
      </w:pPr>
      <w:r>
        <w:t>Enterprise repositioning, experience architecture, and delivery requirements</w:t>
      </w:r>
    </w:p>
    <w:p>
      <w:r>
        <w:rPr>
          <w:b/>
          <w:color w:val="C49A52"/>
        </w:rPr>
        <w:t>Prepared for Executive Review</w:t>
      </w:r>
    </w:p>
    <w:p>
      <w:r>
        <w:t>Assessment basis: live website review of www.pulglobal.com; Company Profile 2026; Capability Statement 2026. Website observations captured 16 September 2026.</w:t>
      </w:r>
    </w:p>
    <w:p>
      <w:pPr>
        <w:pStyle w:val="Heading3"/>
      </w:pPr>
      <w:r>
        <w:t>DECISION DOCUMENT</w:t>
      </w:r>
    </w:p>
    <w:p>
      <w:r>
        <w:br w:type="page"/>
      </w:r>
    </w:p>
    <w:p>
      <w:pPr>
        <w:pStyle w:val="Heading1"/>
      </w:pPr>
      <w:r>
        <w:t>Executive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CEF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Aptos" w:hAnsi="Aptos"/>
                <w:b w:val="0"/>
                <w:color w:val="1F2933"/>
                <w:sz w:val="18"/>
              </w:rPr>
              <w:t>RECOMMENDATION</w:t>
              <w:br/>
              <w:t>Approve a structured redesign, not a cosmetic refresh. The current site understates PUL's approved market position, delays evidence, and frames the company too narrowly as a Virginia-based federal-contracting advisor. Rebuild the experience around four business platforms, mission outcomes, verifiable corporate credentials, and transparent institutional heritage.</w:t>
            </w:r>
          </w:p>
        </w:tc>
      </w:tr>
    </w:tbl>
    <w:p>
      <w:pPr>
        <w:pStyle w:val="Heading2"/>
      </w:pPr>
      <w:r>
        <w:t>What Executives Should Approve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Recommended direction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Business rationale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Positioning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Strategy. Solutions. Global Execution.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Matches the approved profile and supports federal, prime, mission, development, and private-sector audiences.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Scope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Re-architect seven public pages and add Capabilities plus Past Performance.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Moves buyers from recognition to qualification without hunting through generic copy.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Evidence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Publish UEI, CAGE, NAICS, delivery metrics, and attributed heritage with controls.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Improves procurement readiness while avoiding misrepresentation.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Design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Replace sparse, oversized, text-only heroes with disciplined evidence-led layouts and authentic mission imagery.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Raises credibility and scanning efficiency.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Governance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Remove or substantiate testimonials and technical claims before publication.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Reduces reputation and compliance risk.</w:t>
            </w:r>
          </w:p>
        </w:tc>
      </w:tr>
    </w:tbl>
    <w:p>
      <w:pPr>
        <w:pStyle w:val="Heading1"/>
      </w:pPr>
      <w:r>
        <w:t>Current-State Diagnosis</w:t>
      </w:r>
    </w:p>
    <w:p>
      <w:r>
        <w:t>The site is functional but communicates a materially narrower and less substantiated organization than the final corporate materials. Its recurring message, “Government Contracting Consulting in Virginia,” over-indexes on geography and bid support; the approved profile establishes an implementation company with four delivery platforms and international mission heritage.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Observed issue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Evidence / affected pages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Required response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Critical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Positioning mismatch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Home, Solutions, About, Projects, Insights and Contact use location-heavy federal-consulting headlines.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Adopt the approved enterprise proposition and four-platform model sitewide.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Critical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Unverified proof risk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Home and Solutions display named testimonials and claims such as FedRAMP migration, 25% efficiency improvement and first contract in six months.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Validate with written approvals and evidence; otherwise remove.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High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Past performance is obscured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Projects repeats generic Home content rather than documented assignments.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Create evidence-led Past Performance page with heritage attribution.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High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No procurement-ready capabilities destination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No navigation item or page for the capability statement, UEI, CAGE, NAICS, competencies or downloadable PDF.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Create /capabilities/ and expose it in header/footer.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High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Weak first-viewport credibility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Large type, extensive white space, minimal imagery and few proof signals dominate page heroes.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Use a compact hero plus credential strip and visible next section.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High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Empty Careers experience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/home/careers/ contains no substantive page content.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Publish a purposeful talent/partner page or remove it from discoverable navigation.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Medium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Information architecture uses /home/ paths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Solutions, About, Projects, Contact and Careers sit under /home/.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Move to clean canonical slugs with 301 redirects.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Medium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Content hygiene issues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BusinessGrowth / BusinessSuccess spacing artifacts; 2025 article framing; inconsistent info@ and hello@; footer copyright 2025.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Run editorial, legal and SEO QA before launch.</w:t>
            </w:r>
          </w:p>
        </w:tc>
      </w:tr>
    </w:tbl>
    <w:p>
      <w:pPr>
        <w:pStyle w:val="Heading1"/>
      </w:pPr>
      <w:r>
        <w:t>Target Experience Architecture</w:t>
      </w:r>
    </w:p>
    <w:p>
      <w:r>
        <w:t>Primary navigation: Capabilities | Past Performance | About | Insights | Careers | Contact. Use a restrained “Download Capability Statement” utility action and a single primary CTA, “Discuss a Requirement.”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Destination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module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Home 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Establish relevance in 10 seconds.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Enterprise proposition, credential strip, four platforms, buyer routes, selected evidence, delivery model, CTA.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Capabilities /capabilities/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Enable qualification and teaming review.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Core competencies, four platforms, NAICS, UEI/CAGE, buyer fit, downloadable capability statement.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Past Performance /past-performance/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Substantiate execution.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Six documented engagements plus additional assignments; filter by capability; explicit heritage disclosure.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About /about/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Explain entity, heritage and operating model.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2010 origin, current U.S. entity, leadership, values, differentiation, disclosure.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Insights /insights/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Demonstrate current subject-matter relevance.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Mission execution, AI adoption, program delivery, logistics, workforce, technology.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Careers /careers/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Build delivery capacity.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Talent network, consultants, trainers, linguists, IT specialists, local partners; no empty page.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Contact /contact/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Convert qualified interest.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Buyer/partner routing, contact details, capability download, concise form and response expectation.</w:t>
            </w:r>
          </w:p>
        </w:tc>
      </w:tr>
    </w:tbl>
    <w:p>
      <w:pPr>
        <w:pStyle w:val="Heading1"/>
      </w:pPr>
      <w:r>
        <w:t>Capability Statement Page</w:t>
      </w:r>
    </w:p>
    <w:p>
      <w:r>
        <w:t>Build a dedicated procurement page at /capabilities/. The page should be indexable, printable, accessible and linked from the global header, footer, Home credential strip and Contact page. Host the approved PDF as a versioned asset, for example /documents/pul-global-partners-capability-statement-2026.pdf.</w:t>
      </w:r>
    </w:p>
    <w:p>
      <w:pPr>
        <w:pStyle w:val="ListBullet"/>
      </w:pPr>
      <w:r>
        <w:t>Above the fold: legal name, concise positioning, UEI UZHKYJLD5YK9, CAGE 08P09, Stafford, Virginia, primary NAICS 541611, and Download PDF.</w:t>
      </w:r>
    </w:p>
    <w:p>
      <w:pPr>
        <w:pStyle w:val="ListBullet"/>
      </w:pPr>
      <w:r>
        <w:t>Core competencies: four equal platforms using plain-language service lists from the approved statement.</w:t>
      </w:r>
    </w:p>
    <w:p>
      <w:pPr>
        <w:pStyle w:val="ListBullet"/>
      </w:pPr>
      <w:r>
        <w:t>Buyer fit: U.S. federal agencies, overseas missions, prime contractors, USAID/development implementers, NGOs/international organizations and private-sector partners.</w:t>
      </w:r>
    </w:p>
    <w:p>
      <w:pPr>
        <w:pStyle w:val="ListBullet"/>
      </w:pPr>
      <w:r>
        <w:t>Evidence: 30+ projects supported, 1,000+ staff managed, 10,000+ people trained and institutional heritage since 2010; label the last item as heritage.</w:t>
      </w:r>
    </w:p>
    <w:p>
      <w:pPr>
        <w:pStyle w:val="ListBullet"/>
      </w:pPr>
      <w:r>
        <w:t>Past-performance summary: identify prior work as PUL Consulting Services / management-team heritage and link to Past Performance.</w:t>
      </w:r>
    </w:p>
    <w:p>
      <w:pPr>
        <w:pStyle w:val="ListBullet"/>
      </w:pPr>
      <w:r>
        <w:t>Accessibility: descriptive PDF link, file type/size, HTML equivalent, tagged PDF check and keyboard-visible focus.</w:t>
      </w:r>
    </w:p>
    <w:p>
      <w:pPr>
        <w:pStyle w:val="Heading1"/>
      </w:pPr>
      <w:r>
        <w:t>Visual &amp; Interaction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Direction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Acceptance test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Brand expression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Use navy for authority, clear blue for digital capability, white/light gray for clarity, and restrained gold for emphasis. Avoid single-hue blue saturation.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Color roles documented; contrast meets WCAG AA.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Typography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Professional grotesk/sans pair; compact 48-64 px desktop hero, 36-44 px mobile; no viewport-scaled type.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No wraps that split phrases unnaturally; no text clipping at 320 px.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Imagery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Use authentic project, training, technology, logistics and mission-operation photography where rights exist; otherwise commission specific imagery.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Every image has provenance, alt text and a real content purpose.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Layout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12-column desktop system, 1-column mobile; maximum readable width about 1200 px; next section visible below hero.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No empty first viewport; no nested decorative cards.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Components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Credential strip, platform grid, proof metric band, buyer-route links, case-study rows, delivery model, CTA band, download module.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Reusable Elementor components with global styles.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Interaction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Clear hover/focus states, minimal motion, accordions only for secondary detail, no carousel for primary evidence.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Keyboard and reduced-motion QA completed.</w:t>
            </w:r>
          </w:p>
        </w:tc>
      </w:tr>
    </w:tbl>
    <w:p>
      <w:pPr>
        <w:pStyle w:val="Heading1"/>
      </w:pPr>
      <w:r>
        <w:t>Page-Level Design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Current page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Keep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Add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Home /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Logo, clear calls to action, selected insight feed.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Replace generic consulting hero and repeated “win contracts” CTA; reduce hero height.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Credentials, four platforms, buyer pathways, selected engagements, delivery model, disclosure.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Solutions /home/solutions/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Broad service inventory.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Rename Capabilities; reorganize from long mixed list into four approved platforms.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Competency summaries, proof references, procurement data, cross-links.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About /home/about-us/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Founder/leadership narrative if approved.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Replace personality-first structure and generic values with entity story and execution model.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Heritage timeline, leadership bios, operating model, disclosure.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Projects /home/projects/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Page intent.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Remove duplicated Home blocks.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Documented case records, dates, scope, outcomes, source attribution.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Insights /insights/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Editorial hub.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Retire stale 2025 framing and unrelated e-commerce emphasis.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Capability-aligned taxonomy and expert-owner/date metadata.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Careers /home/careers/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URL concept only.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Resolve empty experience.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Talent network proposition, roles, locations, equal-opportunity language, secure submission.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Contact /home/contact/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Message form.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Reduce giant CTA buttons; display direct contact information.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Inquiry type, organization, requirement, location, timing, consent, capability download.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Privacy /privacy-policy/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Policy foundation.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Reconcile hello@ vs info@ and actual analytics/form practices; obtain legal review.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Effective date, cookie/analytics disclosures and retention details where applicable.</w:t>
            </w:r>
          </w:p>
        </w:tc>
      </w:tr>
    </w:tbl>
    <w:p>
      <w:pPr>
        <w:pStyle w:val="Heading1"/>
      </w:pPr>
      <w:r>
        <w:t>Technical Delivery Requirements</w:t>
      </w:r>
    </w:p>
    <w:p>
      <w:pPr>
        <w:pStyle w:val="ListBullet"/>
      </w:pPr>
      <w:r>
        <w:t>Use WordPress, Blocksy and Elementor global tokens; do not duplicate styles at widget level.</w:t>
      </w:r>
    </w:p>
    <w:p>
      <w:pPr>
        <w:pStyle w:val="ListBullet"/>
      </w:pPr>
      <w:r>
        <w:t>Create clean slugs and 301 redirects from /home/solutions/, /home/about-us/, /home/projects/, /home/careers/ and /home/contact/.</w:t>
      </w:r>
    </w:p>
    <w:p>
      <w:pPr>
        <w:pStyle w:val="ListBullet"/>
      </w:pPr>
      <w:r>
        <w:t>Define one H1 per page, unique title/meta description, canonical URL, organization schema and breadcrumb schema.</w:t>
      </w:r>
    </w:p>
    <w:p>
      <w:pPr>
        <w:pStyle w:val="ListBullet"/>
      </w:pPr>
      <w:r>
        <w:t>Optimize images to AVIF/WebP, set intrinsic dimensions, lazy-load below fold and protect Core Web Vitals.</w:t>
      </w:r>
    </w:p>
    <w:p>
      <w:pPr>
        <w:pStyle w:val="ListBullet"/>
      </w:pPr>
      <w:r>
        <w:t>Verify form delivery, spam protection, consent language, analytics events, downloadable-PDF event and thank-you state.</w:t>
      </w:r>
    </w:p>
    <w:p>
      <w:pPr>
        <w:pStyle w:val="ListBullet"/>
      </w:pPr>
      <w:r>
        <w:t>Meet WCAG 2.2 AA for contrast, focus, landmarks, forms, labels, error messages, keyboard flow and reduced motion.</w:t>
      </w:r>
    </w:p>
    <w:p>
      <w:pPr>
        <w:pStyle w:val="ListBullet"/>
      </w:pPr>
      <w:r>
        <w:t>Preserve staging, backup and rollback; test on current Chrome, Edge, Safari and Firefox plus 320/390/768/1440 px widths.</w:t>
      </w:r>
    </w:p>
    <w:p>
      <w:pPr>
        <w:pStyle w:val="Heading1"/>
      </w:pPr>
      <w:r>
        <w:t>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2304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P0: Trust correction (1-2 weeks)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Remove/validate risky claims; fix entity/contact/year/content errors; publish capability PDF; repair Careers decision.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No unsupported testimonial or quantified claim remains.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P1: Strategic rebuild (3-5 weeks)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Information architecture, global system, Home, Capabilities, Past Performance, About, Contact, redirects.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Executive, procurement and accessibility review passed.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P2: Authority program (ongoing)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Insights migration, case studies, leadership content, SEO, analytics and optimization.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F2933"/>
                <w:sz w:val="16"/>
              </w:rPr>
              <w:t>Quarterly editorial cadence and dashboard ownership assigned.</w:t>
            </w:r>
          </w:p>
        </w:tc>
      </w:tr>
    </w:tbl>
    <w:p>
      <w:pPr>
        <w:pStyle w:val="Heading1"/>
      </w:pPr>
      <w:r>
        <w:t>Governance &amp; Approval Gates</w:t>
      </w:r>
    </w:p>
    <w:p>
      <w:pPr>
        <w:pStyle w:val="ListBullet"/>
      </w:pPr>
      <w:r>
        <w:t>Executive owner approves positioning, target buyers and service priorities.</w:t>
      </w:r>
    </w:p>
    <w:p>
      <w:pPr>
        <w:pStyle w:val="ListBullet"/>
      </w:pPr>
      <w:r>
        <w:t>Contracts/compliance owner approves legal entity language, UEI/CAGE/NAICS and heritage attribution.</w:t>
      </w:r>
    </w:p>
    <w:p>
      <w:pPr>
        <w:pStyle w:val="ListBullet"/>
      </w:pPr>
      <w:r>
        <w:t>Business owners substantiate each metric, client reference, logo, testimonial and outcome before publishing.</w:t>
      </w:r>
    </w:p>
    <w:p>
      <w:pPr>
        <w:pStyle w:val="ListBullet"/>
      </w:pPr>
      <w:r>
        <w:t>Design owner approves responsive templates and accessibility QA; content owner approves final page copy.</w:t>
      </w:r>
    </w:p>
    <w:p>
      <w:pPr>
        <w:pStyle w:val="ListBullet"/>
      </w:pPr>
      <w:r>
        <w:t>Web owner records redirects, metadata, release checklist, backups and post-launch monitoring.</w:t>
      </w:r>
    </w:p>
    <w:p>
      <w:pPr>
        <w:pStyle w:val="Heading1"/>
      </w:pPr>
      <w:r>
        <w:t>Evidence &amp; Limitations</w:t>
      </w:r>
    </w:p>
    <w:p>
      <w:r>
        <w:t>Evidence reviewed: live Home, Solutions, About, Projects, Insights, Careers, Contact and Privacy pages; Company Profile 2026; Capability Statement 2026. Visual review covered desktop page captures and content structure. This was not an authenticated analytics review, legal review, penetration test, formal performance benchmark or exhaustive mobile/device audit. Claims requiring substantiation are identified for governance rather than treated as proven facts.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 |  16 SEPTEMBER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PUL GLOBAL PARTNERS  |  EXECUTIVE WEBSITE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6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49A5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