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of Kuwaiti expressions (from her framework instructions)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formal Arabic; the table would suit the website.</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Ali often goes to bed early</w:t>
      </w:r>
      <w:r>
        <w:rPr>
          <w:rFonts w:ascii="Arial" w:cs="Arial" w:eastAsia="Arial" w:hAnsi="Arial"/>
        </w:rPr>
        <w:t xml:space="preserve"> and </w:t>
      </w:r>
      <w:r>
        <w:rPr>
          <w:rFonts w:ascii="Arial" w:cs="Arial" w:eastAsia="Arial" w:hAnsi="Arial"/>
          <w:i/>
          <w:iCs/>
        </w:rPr>
        <w:t xml:space="preserve">The students are in the laboratory</w:t>
      </w:r>
      <w:r>
        <w:rPr>
          <w:rFonts w:ascii="Arial" w:cs="Arial" w:eastAsia="Arial" w:hAnsi="Arial"/>
        </w:rPr>
        <w:t xml:space="preserve"> (Chapter 4);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and the collocations of </w:t>
      </w:r>
      <w:r>
        <w:rPr>
          <w:rFonts w:ascii="Arial" w:cs="Arial" w:hAnsi="Arial"/>
          <w:szCs w:val="23"/>
          <w:rtl/>
        </w:rPr>
        <w:t xml:space="preserve">يقطع</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and </w:t>
      </w:r>
      <w:r>
        <w:rPr>
          <w:rFonts w:ascii="Arial" w:cs="Arial" w:eastAsia="Arial" w:hAnsi="Arial"/>
          <w:i/>
          <w:iCs/>
        </w:rPr>
        <w:t xml:space="preserve">Business is business</w:t>
      </w:r>
      <w:r>
        <w:rPr>
          <w:rFonts w:ascii="Arial" w:cs="Arial" w:eastAsia="Arial" w:hAnsi="Arial"/>
        </w:rPr>
        <w:t xml:space="preserve"> (</w:t>
      </w:r>
      <w:r>
        <w:rPr>
          <w:rFonts w:ascii="Arial" w:cs="Arial" w:hAnsi="Arial"/>
          <w:szCs w:val="23"/>
          <w:rtl/>
        </w:rPr>
        <w:t xml:space="preserve">الشغل شغل</w:t>
      </w:r>
      <w:r>
        <w:rPr>
          <w:rFonts w:ascii="Arial" w:cs="Arial" w:eastAsia="Arial" w:hAnsi="Arial"/>
        </w:rPr>
        <w:t xml:space="preserve">) (Chapter 9); four examples of the seven procedures (Chapter 13);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w:t>
            </w:r>
            <w:r>
              <w:rPr>
                <w:rFonts w:ascii="Arial" w:cs="Arial" w:eastAsia="Arial" w:hAnsi="Arial"/>
                <w:i/>
                <w:iCs/>
                <w:sz w:val="19"/>
                <w:szCs w:val="19"/>
              </w:rPr>
              <w:t xml:space="preserve">She has her pills on time</w:t>
            </w:r>
            <w:r>
              <w:rPr>
                <w:rFonts w:ascii="Arial" w:cs="Arial" w:eastAsia="Arial" w:hAnsi="Arial"/>
                <w:sz w:val="19"/>
                <w:szCs w:val="19"/>
              </w:rPr>
              <w:t xml:space="preserve">); the dual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two one-page guides: The translator’s workflow (with Do and Don’t boxes) and When in doubt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1; before the closing section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a Translation quality checklist and a final task, Put it all together, which takes one short press release through every step of the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8; after 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Revised the wording of rules and claims so that they read as tendencies, not absolute laws, and marked the preferred Arabic term where two exist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10, 11, 20, 22, 27;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Reviewed every example against the team’s documents and her notes: team examples kept and corrected; weak examples replaced, preferably with team examples; challenge questions added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2026-09-29T10:24:44.013Z</dcterms:created>
  <dcterms:modified xsi:type="dcterms:W3CDTF">2026-09-29T10:24:44.013Z</dcterms:modified>
</cp:coreProperties>
</file>

<file path=docProps/custom.xml><?xml version="1.0" encoding="utf-8"?>
<Properties xmlns="http://schemas.openxmlformats.org/officeDocument/2006/custom-properties" xmlns:vt="http://schemas.openxmlformats.org/officeDocument/2006/docPropsVTypes"/>
</file>