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98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 followed by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Ten chapters also have a </w:t>
      </w:r>
      <w:r>
        <w:rPr>
          <w:rFonts w:ascii="Arial" w:cs="Arial" w:eastAsia="Arial" w:hAnsi="Arial"/>
          <w:b/>
          <w:bCs/>
        </w:rPr>
        <w:t xml:space="preserve">Did you know?</w:t>
      </w:r>
      <w:r>
        <w:rPr>
          <w:rFonts w:ascii="Arial" w:cs="Arial" w:eastAsia="Arial" w:hAnsi="Arial"/>
        </w:rPr>
        <w:t xml:space="preserve"> box.</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a </w:t>
      </w:r>
      <w:r>
        <w:rPr>
          <w:rFonts w:ascii="Arial" w:cs="Arial" w:eastAsia="Arial" w:hAnsi="Arial"/>
          <w:b/>
          <w:bCs/>
        </w:rPr>
        <w:t xml:space="preserve">Contributors</w:t>
      </w:r>
      <w:r>
        <w:rPr>
          <w:rFonts w:ascii="Arial" w:cs="Arial" w:eastAsia="Arial" w:hAnsi="Arial"/>
        </w:rPr>
        <w:t xml:space="preserve"> list now closes the preface; the acknowledgements were removed.</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The lasting edition</w:t>
      </w:r>
    </w:p>
    <w:p>
      <w:pPr>
        <w:spacing w:after="140" w:line="300"/>
        <w:jc w:val="both"/>
      </w:pPr>
      <w:r>
        <w:rPr>
          <w:rFonts w:ascii="Arial" w:cs="Arial" w:eastAsia="Arial" w:hAnsi="Arial"/>
        </w:rPr>
        <w:t xml:space="preserve">The final rework made the handbook one that can be used and taught every year:</w:t>
      </w:r>
    </w:p>
    <w:p>
      <w:pPr>
        <w:pStyle w:val="ListParagraph"/>
        <w:numPr>
          <w:ilvl w:val="0"/>
          <w:numId w:val="2"/>
        </w:numPr>
        <w:spacing w:after="80" w:line="290"/>
      </w:pPr>
      <w:r>
        <w:rPr>
          <w:rFonts w:ascii="Arial" w:cs="Arial" w:eastAsia="Arial" w:hAnsi="Arial"/>
          <w:b/>
          <w:bCs/>
        </w:rPr>
        <w:t xml:space="preserve">Order</w:t>
      </w:r>
      <w:r>
        <w:rPr>
          <w:rFonts w:ascii="Arial" w:cs="Arial" w:eastAsia="Arial" w:hAnsi="Arial"/>
        </w:rPr>
        <w:t xml:space="preserve">: the dictionaries chapter moved into Part 1 (now Chapter 3), so that students learn to use a dictionary before anything else, as the team’s framework proposed. All chapter numbers and cross-references were updated.</w:t>
      </w:r>
    </w:p>
    <w:p>
      <w:pPr>
        <w:pStyle w:val="ListParagraph"/>
        <w:numPr>
          <w:ilvl w:val="0"/>
          <w:numId w:val="2"/>
        </w:numPr>
        <w:spacing w:after="80" w:line="290"/>
      </w:pPr>
      <w:r>
        <w:rPr>
          <w:rFonts w:ascii="Arial" w:cs="Arial" w:eastAsia="Arial" w:hAnsi="Arial"/>
          <w:b/>
          <w:bCs/>
        </w:rPr>
        <w:t xml:space="preserve">One path</w:t>
      </w:r>
      <w:r>
        <w:rPr>
          <w:rFonts w:ascii="Arial" w:cs="Arial" w:eastAsia="Arial" w:hAnsi="Arial"/>
        </w:rPr>
        <w:t xml:space="preserve">: every chapter’s Remember box now ends with </w:t>
      </w:r>
      <w:r>
        <w:rPr>
          <w:rFonts w:ascii="Arial" w:cs="Arial" w:eastAsia="Arial" w:hAnsi="Arial"/>
          <w:b/>
          <w:bCs/>
        </w:rPr>
        <w:t xml:space="preserve">Next</w:t>
      </w:r>
      <w:r>
        <w:rPr>
          <w:rFonts w:ascii="Arial" w:cs="Arial" w:eastAsia="Arial" w:hAnsi="Arial"/>
        </w:rPr>
        <w:t xml:space="preserve">, naming the chapter that follows, and the book closes with </w:t>
      </w:r>
      <w:r>
        <w:rPr>
          <w:rFonts w:ascii="Arial" w:cs="Arial" w:eastAsia="Arial" w:hAnsi="Arial"/>
          <w:b/>
          <w:bCs/>
        </w:rPr>
        <w:t xml:space="preserve">Your journey continues</w:t>
      </w:r>
      <w:r>
        <w:rPr>
          <w:rFonts w:ascii="Arial" w:cs="Arial" w:eastAsia="Arial" w:hAnsi="Arial"/>
        </w:rPr>
        <w:t xml:space="preserve">: daily habits, learning from published translations, the fields a translator can move into, and the invitation to join the team.</w:t>
      </w:r>
    </w:p>
    <w:p>
      <w:pPr>
        <w:pStyle w:val="ListParagraph"/>
        <w:numPr>
          <w:ilvl w:val="0"/>
          <w:numId w:val="2"/>
        </w:numPr>
        <w:spacing w:after="80" w:line="290"/>
      </w:pPr>
      <w:r>
        <w:rPr>
          <w:rFonts w:ascii="Arial" w:cs="Arial" w:eastAsia="Arial" w:hAnsi="Arial"/>
          <w:b/>
          <w:bCs/>
        </w:rPr>
        <w:t xml:space="preserve">A stronger opening</w:t>
      </w:r>
      <w:r>
        <w:rPr>
          <w:rFonts w:ascii="Arial" w:cs="Arial" w:eastAsia="Arial" w:hAnsi="Arial"/>
        </w:rPr>
        <w:t xml:space="preserve">: </w:t>
      </w:r>
      <w:r>
        <w:rPr>
          <w:rFonts w:ascii="Arial" w:cs="Arial" w:eastAsia="Arial" w:hAnsi="Arial"/>
          <w:b/>
          <w:bCs/>
        </w:rPr>
        <w:t xml:space="preserve">Start here</w:t>
      </w:r>
      <w:r>
        <w:rPr>
          <w:rFonts w:ascii="Arial" w:cs="Arial" w:eastAsia="Arial" w:hAnsi="Arial"/>
        </w:rPr>
        <w:t xml:space="preserve"> now opens with where translation is found in daily life and with the House of Wisdom in Baghdad, before the four steps of every translation.</w:t>
      </w:r>
    </w:p>
    <w:p>
      <w:pPr>
        <w:pStyle w:val="ListParagraph"/>
        <w:numPr>
          <w:ilvl w:val="0"/>
          <w:numId w:val="2"/>
        </w:numPr>
        <w:spacing w:after="80" w:line="290"/>
      </w:pPr>
      <w:r>
        <w:rPr>
          <w:rFonts w:ascii="Arial" w:cs="Arial" w:eastAsia="Arial" w:hAnsi="Arial"/>
          <w:b/>
          <w:bCs/>
        </w:rPr>
        <w:t xml:space="preserve">Did you know?</w:t>
      </w:r>
      <w:r>
        <w:rPr>
          <w:rFonts w:ascii="Arial" w:cs="Arial" w:eastAsia="Arial" w:hAnsi="Arial"/>
        </w:rPr>
        <w:t xml:space="preserve">: ten short, well-documented facts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w:t>
      </w:r>
    </w:p>
    <w:p>
      <w:pPr>
        <w:pStyle w:val="ListParagraph"/>
        <w:numPr>
          <w:ilvl w:val="0"/>
          <w:numId w:val="2"/>
        </w:numPr>
        <w:spacing w:after="80" w:line="290"/>
      </w:pPr>
      <w:r>
        <w:rPr>
          <w:rFonts w:ascii="Arial" w:cs="Arial" w:eastAsia="Arial" w:hAnsi="Arial"/>
          <w:b/>
          <w:bCs/>
        </w:rPr>
        <w:t xml:space="preserve">Nothing that dates</w:t>
      </w:r>
      <w:r>
        <w:rPr>
          <w:rFonts w:ascii="Arial" w:cs="Arial" w:eastAsia="Arial" w:hAnsi="Arial"/>
        </w:rPr>
        <w:t xml:space="preserve">: the one example tied to a recent event was replaced with a general one.</w:t>
      </w:r>
    </w:p>
    <w:p>
      <w:pPr>
        <w:pStyle w:val="ListParagraph"/>
        <w:numPr>
          <w:ilvl w:val="0"/>
          <w:numId w:val="2"/>
        </w:numPr>
        <w:spacing w:after="80" w:line="290"/>
      </w:pPr>
      <w:r>
        <w:rPr>
          <w:rFonts w:ascii="Arial" w:cs="Arial" w:eastAsia="Arial" w:hAnsi="Arial"/>
          <w:b/>
          <w:bCs/>
        </w:rPr>
        <w:t xml:space="preserve">Two one-page guides</w:t>
      </w:r>
      <w:r>
        <w:rPr>
          <w:rFonts w:ascii="Arial" w:cs="Arial" w:eastAsia="Arial" w:hAnsi="Arial"/>
        </w:rPr>
        <w:t xml:space="preserve">: </w:t>
      </w:r>
      <w:r>
        <w:rPr>
          <w:rFonts w:ascii="Arial" w:cs="Arial" w:eastAsia="Arial" w:hAnsi="Arial"/>
          <w:b/>
          <w:bCs/>
        </w:rPr>
        <w:t xml:space="preserve">The translator’s workflow</w:t>
      </w:r>
      <w:r>
        <w:rPr>
          <w:rFonts w:ascii="Arial" w:cs="Arial" w:eastAsia="Arial" w:hAnsi="Arial"/>
        </w:rPr>
        <w:t xml:space="preserve"> (end of Part 1: seven steps, each linked to its chapter, with Do and Don’t boxes) and </w:t>
      </w:r>
      <w:r>
        <w:rPr>
          <w:rFonts w:ascii="Arial" w:cs="Arial" w:eastAsia="Arial" w:hAnsi="Arial"/>
          <w:b/>
          <w:bCs/>
        </w:rPr>
        <w:t xml:space="preserve">When in doubt</w:t>
      </w:r>
      <w:r>
        <w:rPr>
          <w:rFonts w:ascii="Arial" w:cs="Arial" w:eastAsia="Arial" w:hAnsi="Arial"/>
        </w:rPr>
        <w:t xml:space="preserve"> (before the closing section: what to do with an unknown word, two possible translations, or an answer from an AI tool).</w:t>
      </w:r>
    </w:p>
    <w:p>
      <w:pPr>
        <w:pStyle w:val="ListParagraph"/>
        <w:numPr>
          <w:ilvl w:val="0"/>
          <w:numId w:val="2"/>
        </w:numPr>
        <w:spacing w:after="80" w:line="290"/>
      </w:pPr>
      <w:r>
        <w:rPr>
          <w:rFonts w:ascii="Arial" w:cs="Arial" w:eastAsia="Arial" w:hAnsi="Arial"/>
          <w:b/>
          <w:bCs/>
        </w:rPr>
        <w:t xml:space="preserve">Examples reviewed</w:t>
      </w:r>
      <w:r>
        <w:rPr>
          <w:rFonts w:ascii="Arial" w:cs="Arial" w:eastAsia="Arial" w:hAnsi="Arial"/>
        </w:rPr>
        <w:t xml:space="preserve">: every example was checked against the team’s documents and Shaikha’s notes. Team examples were kept, with their errors corrected; examples written for the handbook were kept only where they show a real translation decision, and weak ones were replaced, preferably with team examples (for example, </w:t>
      </w:r>
      <w:r>
        <w:rPr>
          <w:rFonts w:ascii="Arial" w:cs="Arial" w:eastAsia="Arial" w:hAnsi="Arial"/>
          <w:i/>
          <w:iCs/>
        </w:rPr>
        <w:t xml:space="preserve">honeymoon</w:t>
      </w:r>
      <w:r>
        <w:rPr>
          <w:rFonts w:ascii="Arial" w:cs="Arial" w:eastAsia="Arial" w:hAnsi="Arial"/>
        </w:rPr>
        <w:t xml:space="preserve"> and </w:t>
      </w:r>
      <w:r>
        <w:rPr>
          <w:rFonts w:ascii="Arial" w:cs="Arial" w:eastAsia="Arial" w:hAnsi="Arial"/>
          <w:i/>
          <w:iCs/>
        </w:rPr>
        <w:t xml:space="preserve">prawns and shrimps</w:t>
      </w:r>
      <w:r>
        <w:rPr>
          <w:rFonts w:ascii="Arial" w:cs="Arial" w:eastAsia="Arial" w:hAnsi="Arial"/>
        </w:rPr>
        <w:t xml:space="preserve"> were replaced). A short “challenge” question was added to Chapters 10, 14 and 15.</w:t>
      </w:r>
    </w:p>
    <w:p>
      <w:pPr>
        <w:pStyle w:val="ListParagraph"/>
        <w:numPr>
          <w:ilvl w:val="0"/>
          <w:numId w:val="2"/>
        </w:numPr>
        <w:spacing w:after="80" w:line="290"/>
      </w:pPr>
      <w:r>
        <w:rPr>
          <w:rFonts w:ascii="Arial" w:cs="Arial" w:eastAsia="Arial" w:hAnsi="Arial"/>
          <w:b/>
          <w:bCs/>
        </w:rPr>
        <w:t xml:space="preserve">Publication review, second round</w:t>
      </w:r>
      <w:r>
        <w:rPr>
          <w:rFonts w:ascii="Arial" w:cs="Arial" w:eastAsia="Arial" w:hAnsi="Arial"/>
        </w:rPr>
        <w:t xml:space="preserve">: free translation in Chapter 11 is now taught as too literal → natural → too free, using the team’s example; the three types of equivalence (Chapter 10) are presented as this handbook’s framework, not a fixed order; the Chapter 9 proverb list was trimmed; Chapters 15–17, 20, 22, 25 and 27 were reworded where a statement was too absolute (for example “regime”, machine translation, and the choice of Arabic variety in subtitles); subtitle conventions are marked as conventions, not rules; answers are headed “Check your answers”; the AI statement on the copyright page now says that content selection, translation decisions, checking and approval were the team’s responsibility.</w:t>
      </w:r>
    </w:p>
    <w:p>
      <w:pPr>
        <w:pStyle w:val="ListParagraph"/>
        <w:numPr>
          <w:ilvl w:val="0"/>
          <w:numId w:val="2"/>
        </w:numPr>
        <w:spacing w:after="80" w:line="290"/>
      </w:pPr>
      <w:r>
        <w:rPr>
          <w:rFonts w:ascii="Arial" w:cs="Arial" w:eastAsia="Arial" w:hAnsi="Arial"/>
          <w:b/>
          <w:bCs/>
        </w:rPr>
        <w:t xml:space="preserve">Two more one-page guides</w:t>
      </w:r>
      <w:r>
        <w:rPr>
          <w:rFonts w:ascii="Arial" w:cs="Arial" w:eastAsia="Arial" w:hAnsi="Arial"/>
        </w:rPr>
        <w:t xml:space="preserve">: a </w:t>
      </w:r>
      <w:r>
        <w:rPr>
          <w:rFonts w:ascii="Arial" w:cs="Arial" w:eastAsia="Arial" w:hAnsi="Arial"/>
          <w:b/>
          <w:bCs/>
        </w:rPr>
        <w:t xml:space="preserve">Translation quality checklist</w:t>
      </w:r>
      <w:r>
        <w:rPr>
          <w:rFonts w:ascii="Arial" w:cs="Arial" w:eastAsia="Arial" w:hAnsi="Arial"/>
        </w:rPr>
        <w:t xml:space="preserve"> at the end of Part 8, and </w:t>
      </w:r>
      <w:r>
        <w:rPr>
          <w:rFonts w:ascii="Arial" w:cs="Arial" w:eastAsia="Arial" w:hAnsi="Arial"/>
          <w:b/>
          <w:bCs/>
        </w:rPr>
        <w:t xml:space="preserve">Put it all together</w:t>
      </w:r>
      <w:r>
        <w:rPr>
          <w:rFonts w:ascii="Arial" w:cs="Arial" w:eastAsia="Arial" w:hAnsi="Arial"/>
        </w:rPr>
        <w:t xml:space="preserve">, a final translation task after Chapter 27 that takes one short press release through every step of the book.</w:t>
      </w:r>
    </w:p>
    <w:p>
      <w:pPr>
        <w:pStyle w:val="ListParagraph"/>
        <w:numPr>
          <w:ilvl w:val="0"/>
          <w:numId w:val="2"/>
        </w:numPr>
        <w:spacing w:after="80" w:line="290"/>
      </w:pPr>
      <w:r>
        <w:rPr>
          <w:rFonts w:ascii="Arial" w:cs="Arial" w:eastAsia="Arial" w:hAnsi="Arial"/>
          <w:b/>
          <w:bCs/>
        </w:rPr>
        <w:t xml:space="preserve">Rules framed as tendencies</w:t>
      </w:r>
      <w:r>
        <w:rPr>
          <w:rFonts w:ascii="Arial" w:cs="Arial" w:eastAsia="Arial" w:hAnsi="Arial"/>
        </w:rPr>
        <w:t xml:space="preserve">: statements such as “prefer a verbal sentence” and “use Modern Standard Arabic” now read as general tendencies that the text type, audience and purpose can change; where a term has two Arabic equivalents, the glossary gives the preferred one first.</w:t>
      </w:r>
    </w:p>
    <w:p>
      <w:pPr>
        <w:pStyle w:val="ListParagraph"/>
        <w:numPr>
          <w:ilvl w:val="0"/>
          <w:numId w:val="2"/>
        </w:numPr>
        <w:spacing w:after="80" w:line="290"/>
      </w:pPr>
      <w:r>
        <w:rPr>
          <w:rFonts w:ascii="Arial" w:cs="Arial" w:eastAsia="Arial" w:hAnsi="Arial"/>
          <w:b/>
          <w:bCs/>
        </w:rPr>
        <w:t xml:space="preserve">A shorter book without cutting content</w:t>
      </w:r>
      <w:r>
        <w:rPr>
          <w:rFonts w:ascii="Arial" w:cs="Arial" w:eastAsia="Arial" w:hAnsi="Arial"/>
        </w:rPr>
        <w:t xml:space="preserve">: chapters now follow on from each other, while each part still starts on a new page; the glossary is set in two columns; the margins and the space between paragraphs were reduced slightly. The book went from 102 to 92 pages with the same content.</w:t>
      </w:r>
    </w:p>
    <w:p>
      <w:pPr>
        <w:spacing w:after="60"/>
      </w:pPr>
    </w:p>
    <w:p>
      <w:pPr>
        <w:pStyle w:val="Heading2"/>
      </w:pPr>
      <w:r>
        <w:t xml:space="preserve">3.5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9:</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17:</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21, from Shaikha’s terminology class notes</w:t>
      </w:r>
      <w:r>
        <w:rPr>
          <w:rFonts w:ascii="Arial" w:cs="Arial" w:eastAsia="Arial" w:hAnsi="Arial"/>
        </w:rPr>
        <w:t xml:space="preserve"> (extracted by Shaikha from the terminology course she took): terms of several words (</w:t>
      </w:r>
      <w:r>
        <w:rPr>
          <w:rFonts w:ascii="Arial" w:cs="Arial" w:eastAsia="Arial" w:hAnsi="Arial"/>
          <w:i/>
          <w:iCs/>
        </w:rPr>
        <w:t xml:space="preserve">network security</w:t>
      </w:r>
      <w:r>
        <w:rPr>
          <w:rFonts w:ascii="Arial" w:cs="Arial" w:eastAsia="Arial" w:hAnsi="Arial"/>
        </w:rPr>
        <w:t xml:space="preserve">); reading a short introduction to a new field and asking the client or a specialist; checking that a term’s parts do not mislead (</w:t>
      </w:r>
      <w:r>
        <w:rPr>
          <w:rFonts w:ascii="Arial" w:cs="Arial" w:eastAsia="Arial" w:hAnsi="Arial"/>
          <w:i/>
          <w:iCs/>
        </w:rPr>
        <w:t xml:space="preserve">blackboard</w:t>
      </w:r>
      <w:r>
        <w:rPr>
          <w:rFonts w:ascii="Arial" w:cs="Arial" w:eastAsia="Arial" w:hAnsi="Arial"/>
        </w:rPr>
        <w:t xml:space="preserve">); confirming an equivalent in a text written in Arabic, not a translation; writing a one-sentence definition (</w:t>
      </w:r>
      <w:r>
        <w:rPr>
          <w:rFonts w:ascii="Arial" w:cs="Arial" w:eastAsia="Arial" w:hAnsi="Arial"/>
          <w:i/>
          <w:iCs/>
        </w:rPr>
        <w:t xml:space="preserve">thermometer</w:t>
      </w:r>
      <w:r>
        <w:rPr>
          <w:rFonts w:ascii="Arial" w:cs="Arial" w:eastAsia="Arial" w:hAnsi="Arial"/>
        </w:rPr>
        <w:t xml:space="preserve">); and terms with two accepted names (</w:t>
      </w:r>
      <w:r>
        <w:rPr>
          <w:rFonts w:ascii="Arial" w:cs="Arial" w:eastAsia="Arial" w:hAnsi="Arial"/>
          <w:i/>
          <w:iCs/>
        </w:rPr>
        <w:t xml:space="preserve">aerial</w:t>
      </w:r>
      <w:r>
        <w:rPr>
          <w:rFonts w:ascii="Arial" w:cs="Arial" w:eastAsia="Arial" w:hAnsi="Arial"/>
        </w:rPr>
        <w:t xml:space="preserve"> / </w:t>
      </w:r>
      <w:r>
        <w:rPr>
          <w:rFonts w:ascii="Arial" w:cs="Arial" w:eastAsia="Arial" w:hAnsi="Arial"/>
          <w:i/>
          <w:iCs/>
        </w:rPr>
        <w:t xml:space="preserve">antenna</w:t>
      </w:r>
      <w:r>
        <w:rPr>
          <w:rFonts w:ascii="Arial" w:cs="Arial" w:eastAsia="Arial" w:hAnsi="Arial"/>
        </w:rPr>
        <w:t xml:space="preserve">, </w:t>
      </w:r>
      <w:r>
        <w:rPr>
          <w:rFonts w:ascii="Arial" w:cs="Arial" w:hAnsi="Arial"/>
          <w:szCs w:val="23"/>
          <w:rtl/>
        </w:rPr>
        <w:t xml:space="preserve">حاسوب</w:t>
      </w:r>
      <w:r>
        <w:rPr>
          <w:rFonts w:ascii="Arial" w:cs="Arial" w:eastAsia="Arial" w:hAnsi="Arial"/>
        </w:rPr>
        <w:t xml:space="preserve"> / </w:t>
      </w:r>
      <w:r>
        <w:rPr>
          <w:rFonts w:ascii="Arial" w:cs="Arial" w:hAnsi="Arial"/>
          <w:szCs w:val="23"/>
          <w:rtl/>
        </w:rPr>
        <w:t xml:space="preserve">كمبيوتر</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11:</w:t>
      </w:r>
      <w:r>
        <w:rPr>
          <w:rFonts w:ascii="Arial" w:cs="Arial" w:eastAsia="Arial" w:hAnsi="Arial"/>
        </w:rPr>
        <w:t xml:space="preserve"> communicative translation, the “middle way” between literal and free translation, with two examples of public notices (requested in the Teams chat).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explicitation and implicitation, with three English–Arabic examples (requested in the Teams chat).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4).</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10); form and meaning (Chapter 5); types of meaning (Chapter 6); context, homonymy and polysemy (Chapter 7).</w:t>
      </w:r>
    </w:p>
    <w:p>
      <w:pPr>
        <w:pStyle w:val="ListParagraph"/>
        <w:numPr>
          <w:ilvl w:val="0"/>
          <w:numId w:val="2"/>
        </w:numPr>
        <w:spacing w:after="80" w:line="290"/>
      </w:pPr>
      <w:r>
        <w:rPr>
          <w:rFonts w:ascii="Arial" w:cs="Arial" w:eastAsia="Arial" w:hAnsi="Arial"/>
        </w:rPr>
        <w:t xml:space="preserve">Collocation (Chapter 8); idioms and proverbs (Chapter 9); literal and free translation (Chapter 11); metaphoric translation (Chapter 12).</w:t>
      </w:r>
    </w:p>
    <w:p>
      <w:pPr>
        <w:pStyle w:val="ListParagraph"/>
        <w:numPr>
          <w:ilvl w:val="0"/>
          <w:numId w:val="2"/>
        </w:numPr>
        <w:spacing w:after="80" w:line="290"/>
      </w:pPr>
      <w:r>
        <w:rPr>
          <w:rFonts w:ascii="Arial" w:cs="Arial" w:eastAsia="Arial" w:hAnsi="Arial"/>
        </w:rPr>
        <w:t xml:space="preserve">Translation strategies (Chapter 14); cultural approximation (Chapter 15); descriptive translation (Chapter 16); lexical creation (Chapter 17).</w:t>
      </w:r>
    </w:p>
    <w:p>
      <w:pPr>
        <w:pStyle w:val="ListParagraph"/>
        <w:numPr>
          <w:ilvl w:val="0"/>
          <w:numId w:val="2"/>
        </w:numPr>
        <w:spacing w:after="80" w:line="290"/>
      </w:pPr>
      <w:r>
        <w:rPr>
          <w:rFonts w:ascii="Arial" w:cs="Arial" w:eastAsia="Arial" w:hAnsi="Arial"/>
        </w:rPr>
        <w:t xml:space="preserve">Text analysis, including the KUNA example (Chapter 18);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8, 9 and 15).</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All four pages were seen in screenshots. The model was shared in the Teams chat with notes from the Text Analysis and Translation course and three sample analyses.</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the three-step process (analysis, translation, post-translation activity), which matches the three phases already in Chapters 18 and 25.</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3 (“look at two levels”), in plain English: the </w:t>
      </w:r>
      <w:r>
        <w:rPr>
          <w:rFonts w:ascii="Arial" w:cs="Arial" w:eastAsia="Arial" w:hAnsi="Arial"/>
          <w:b/>
          <w:bCs/>
        </w:rPr>
        <w:t xml:space="preserve">linguistic level</w:t>
      </w:r>
      <w:r>
        <w:rPr>
          <w:rFonts w:ascii="Arial" w:cs="Arial" w:eastAsia="Arial" w:hAnsi="Arial"/>
        </w:rPr>
        <w:t xml:space="preserve">, with its </w:t>
      </w:r>
      <w:r>
        <w:rPr>
          <w:rFonts w:ascii="Arial" w:cs="Arial" w:eastAsia="Arial" w:hAnsi="Arial"/>
          <w:b/>
          <w:bCs/>
        </w:rPr>
        <w:t xml:space="preserve">micro level</w:t>
      </w:r>
      <w:r>
        <w:rPr>
          <w:rFonts w:ascii="Arial" w:cs="Arial" w:eastAsia="Arial" w:hAnsi="Arial"/>
        </w:rPr>
        <w:t xml:space="preserve"> (lexical, syntactic, semantic, morphological and phonological aspects, given as words, grammar, meaning, word forms and sound) and its </w:t>
      </w:r>
      <w:r>
        <w:rPr>
          <w:rFonts w:ascii="Arial" w:cs="Arial" w:eastAsia="Arial" w:hAnsi="Arial"/>
          <w:b/>
          <w:bCs/>
        </w:rPr>
        <w:t xml:space="preserve">macro level</w:t>
      </w:r>
      <w:r>
        <w:rPr>
          <w:rFonts w:ascii="Arial" w:cs="Arial" w:eastAsia="Arial" w:hAnsi="Arial"/>
        </w:rPr>
        <w:t xml:space="preserve"> (textual, intertextual, and political or ideological aspects, given as the text, other texts, and point of view, linked to Chapters 19 and 20); and the </w:t>
      </w:r>
      <w:r>
        <w:rPr>
          <w:rFonts w:ascii="Arial" w:cs="Arial" w:eastAsia="Arial" w:hAnsi="Arial"/>
          <w:b/>
          <w:bCs/>
        </w:rPr>
        <w:t xml:space="preserve">external level</w:t>
      </w:r>
      <w:r>
        <w:rPr>
          <w:rFonts w:ascii="Arial" w:cs="Arial" w:eastAsia="Arial" w:hAnsi="Arial"/>
        </w:rPr>
        <w:t xml:space="preserve"> (the background event, the author, and the effect of the target culture and audience), given as three questions.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25: the post-translation commentary should consult the analysis and explain how the problems were solved. One sentence added to Step 2.</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5: the model can also be used to assess the quality of a translation (which elements were transferred and which were omitted). One sentence added, linked to Chapter 23.</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as too advanced for beginners: blending, clippings and infixation; frame-modification, re-modelling and Al-ta’reed; politicization and ideologization as named terms; monitoring, intrinsic managing and extrinsic managing in the commentary.</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the course notes and the three sample analyses (the News text, the Speech text and the Climate change text). They could give Chapters 18 and 25 authentic worked examples.</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Both are now named on the Contributors page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and Loulwah later posted the files herself, which confirms they are her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(Loulwah’s PDF of 59.5 MB, compiled from Baker and Munday):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notes (Samiuallah’s TRANSLATION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notes)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point by point: almost all of it was already in the handbook through the draft; four collocation and idiom examples added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terminology slides (Masooma)</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slides)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Chapter 21 matches them; four examples added to Chapters 12, 17 and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the team’s notes on the book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the team used the 2011 edition; the reference now gives 2011, first published 1999. The draft’s numbered exercises (16, 24–29) come from this book, which is now cited in Chapters 10, 12, 15, 16 and 17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and Analysis texts (Masooma’s Translation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 وكيفيتها</w:t>
            </w:r>
            <w:r>
              <w:rPr>
                <w:rFonts w:ascii="Arial" w:cs="Arial" w:eastAsia="Arial" w:hAnsi="Arial"/>
                <w:sz w:val="19"/>
                <w:szCs w:val="19"/>
              </w:rPr>
              <w:t xml:space="preserve"> (13 pages)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no author is named on any page, so it cannot be listed as a reference; two idioms from pages 6–7 used, with corrected Arabic</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available: Loulwah says the rest of her notes were lost. Her audiovisual notes are the AVT notes used in Chapters 26 and 27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in the Arab World (Gamal) and AVT Theory (Loulwah)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11, 14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all four pages seen; the author is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and Climate change texts) and the Text Analysis and Translation course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found later: Masooma’s 182 slides (slides 47–57). Still left out as too detailed for beginners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(1999/2011)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team’s notes cite the 2011 edition; confirm the year and edition on the copy, and add page numbers for the chapters that cite it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4, 6, 19,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14, and the examples in Chapters 11 and 14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year and edition of Farghal &amp; Shunnaq on the team’s copy (the notes say 2011; the first edition was 1999), and add page numbers where the handbook cites it.</w:t>
      </w:r>
    </w:p>
    <w:p>
      <w:pPr>
        <w:pStyle w:val="ListParagraph"/>
        <w:numPr>
          <w:ilvl w:val="0"/>
          <w:numId w:val="2"/>
        </w:numPr>
        <w:spacing w:after="80" w:line="290"/>
      </w:pPr>
      <w:r>
        <w:rPr>
          <w:rFonts w:ascii="Arial" w:cs="Arial" w:eastAsia="Arial" w:hAnsi="Arial"/>
          <w:color w:val="C00000"/>
        </w:rPr>
        <w:t xml:space="preserve">Find the author of </w:t>
      </w:r>
      <w:r>
        <w:rPr>
          <w:rFonts w:ascii="Arial" w:cs="Arial" w:hAnsi="Arial"/>
          <w:szCs w:val="23"/>
          <w:rtl/>
        </w:rPr>
        <w:t xml:space="preserve">الترجمة: ماهيتها وكيفيتها</w:t>
      </w:r>
      <w:r>
        <w:rPr>
          <w:rFonts w:ascii="Arial" w:cs="Arial" w:eastAsia="Arial" w:hAnsi="Arial"/>
          <w:color w:val="C00000"/>
        </w:rPr>
        <w:t xml:space="preserve">; until then it cannot be cited.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Name the author of the Text Analysis Model V2-2, so that it can be credited correctly (it is now cited as the team’s course materials, with Fairclough, 2003).</w:t>
      </w:r>
    </w:p>
    <w:p>
      <w:pPr>
        <w:pStyle w:val="ListParagraph"/>
        <w:numPr>
          <w:ilvl w:val="0"/>
          <w:numId w:val="2"/>
        </w:numPr>
        <w:spacing w:after="80" w:line="290"/>
      </w:pPr>
      <w:r>
        <w:rPr>
          <w:rFonts w:ascii="Arial" w:cs="Arial" w:eastAsia="Arial" w:hAnsi="Arial"/>
          <w:color w:val="C00000"/>
        </w:rPr>
        <w:t xml:space="preserve">Send the three sample analyses (News, Speech and Climate change texts) if they should be used as worked examples in Chapters 18 and 25.</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11, 14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Confirm the names and roles on the new Contributors page (page iv): Shaikhah Alkhaledi, Loulwah Bin Saeed, Masooma Almesri and Samiuallah Mohammad. Decide whether to list all four alphabetically, as the team’s framework says, and whether to name the academic supervisor, Abdullah Bezea. The full account is in the Contributions Report.</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the statement on AI assistance.</w:t>
      </w:r>
    </w:p>
    <w:p>
      <w:pPr>
        <w:pStyle w:val="ListParagraph"/>
        <w:numPr>
          <w:ilvl w:val="0"/>
          <w:numId w:val="2"/>
        </w:numPr>
        <w:spacing w:after="80" w:line="290"/>
      </w:pPr>
      <w:r>
        <w:rPr>
          <w:rFonts w:ascii="Arial" w:cs="Arial" w:eastAsia="Arial" w:hAnsi="Arial"/>
          <w:color w:val="C00000"/>
        </w:rPr>
        <w:t xml:space="preserve">Check the ten “Did you know?” facts against a reference work (dates, numbers and names) before printing.</w:t>
      </w:r>
    </w:p>
    <w:p>
      <w:pPr>
        <w:pStyle w:val="ListParagraph"/>
        <w:numPr>
          <w:ilvl w:val="0"/>
          <w:numId w:val="2"/>
        </w:numPr>
        <w:spacing w:after="80" w:line="290"/>
      </w:pPr>
      <w:r>
        <w:rPr>
          <w:rFonts w:ascii="Arial" w:cs="Arial" w:eastAsia="Arial" w:hAnsi="Arial"/>
          <w:color w:val="C00000"/>
        </w:rPr>
        <w:t xml:space="preserve">Find a published source for the Arabic dubbing of </w:t>
      </w:r>
      <w:r>
        <w:rPr>
          <w:rFonts w:ascii="Arial" w:cs="Arial" w:eastAsia="Arial" w:hAnsi="Arial"/>
          <w:i/>
          <w:iCs/>
          <w:color w:val="C00000"/>
        </w:rPr>
        <w:t xml:space="preserve">The Simpsons</w:t>
      </w:r>
      <w:r>
        <w:rPr>
          <w:rFonts w:ascii="Arial" w:cs="Arial" w:eastAsia="Arial" w:hAnsi="Arial"/>
          <w:color w:val="C00000"/>
        </w:rPr>
        <w:t xml:space="preserve"> (Chapter 26), or replace the example.</w:t>
      </w:r>
    </w:p>
    <w:p>
      <w:pPr>
        <w:pStyle w:val="ListParagraph"/>
        <w:numPr>
          <w:ilvl w:val="0"/>
          <w:numId w:val="2"/>
        </w:numPr>
        <w:spacing w:after="80" w:line="290"/>
      </w:pPr>
      <w:r>
        <w:rPr>
          <w:rFonts w:ascii="Arial" w:cs="Arial" w:eastAsia="Arial" w:hAnsi="Arial"/>
          <w:color w:val="C00000"/>
        </w:rPr>
        <w:t xml:space="preserve">Ask a native Arabic specialist to check every Arabic equivalent in the glossary and the chapters, and to confirm the preferred terms.</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20 are enough for the professor’s “relational model”.</w:t>
      </w:r>
    </w:p>
    <w:p>
      <w:pPr>
        <w:pStyle w:val="ListParagraph"/>
        <w:numPr>
          <w:ilvl w:val="0"/>
          <w:numId w:val="2"/>
        </w:numPr>
        <w:spacing w:after="80" w:line="290"/>
      </w:pPr>
      <w:r>
        <w:rPr>
          <w:rFonts w:ascii="Arial" w:cs="Arial" w:eastAsia="Arial" w:hAnsi="Arial"/>
          <w:color w:val="C00000"/>
        </w:rPr>
        <w:t xml:space="preserve">Materials still not received: Loulwah’s Principles of Translation PDF, the Gamal article and AVT Theory, Masooma’s Translation Texts and stylistics summary, and the three sample analyses; Loulwah’s other notes were lost. Previously listed and now received: the 180 notes, the 182 slides, the Farghal &amp; Shunnaq notes and </w:t>
      </w:r>
      <w:r>
        <w:rPr>
          <w:rFonts w:ascii="Arial" w:cs="Arial" w:hAnsi="Arial"/>
          <w:szCs w:val="23"/>
          <w:rtl/>
        </w:rPr>
        <w:t xml:space="preserve">الترجمة: ماهيتها وكيفيتها</w:t>
      </w:r>
      <w:r>
        <w:rPr>
          <w:rFonts w:ascii="Arial" w:cs="Arial" w:eastAsia="Arial" w:hAnsi="Arial"/>
          <w:color w:val="C00000"/>
        </w:rPr>
        <w:t xml:space="preserve">. Also not yet settled: the checklist for the supervisor’s framework.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Translation Handbook</dc:title>
  <dc:creator>Guild Translation Team</dc:creator>
  <cp:lastModifiedBy>Un-named</cp:lastModifiedBy>
  <cp:revision>1</cp:revision>
  <dcterms:created xsi:type="dcterms:W3CDTF">2026-09-29T10:24:46.182Z</dcterms:created>
  <dcterms:modified xsi:type="dcterms:W3CDTF">2026-09-29T10:24:46.182Z</dcterms:modified>
</cp:coreProperties>
</file>

<file path=docProps/custom.xml><?xml version="1.0" encoding="utf-8"?>
<Properties xmlns="http://schemas.openxmlformats.org/officeDocument/2006/custom-properties" xmlns:vt="http://schemas.openxmlformats.org/officeDocument/2006/docPropsVTypes"/>
</file>