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a </w:t>
      </w:r>
      <w:r>
        <w:rPr>
          <w:rFonts w:ascii="Arial" w:cs="Arial" w:eastAsia="Arial" w:hAnsi="Arial"/>
          <w:b/>
          <w:bCs/>
        </w:rPr>
        <w:t xml:space="preserve">Contributors</w:t>
      </w:r>
      <w:r>
        <w:rPr>
          <w:rFonts w:ascii="Arial" w:cs="Arial" w:eastAsia="Arial" w:hAnsi="Arial"/>
        </w:rPr>
        <w:t xml:space="preserve"> list now closes the preface; the acknowledgements were removed.</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Two one-page guides</w:t>
      </w:r>
      <w:r>
        <w:rPr>
          <w:rFonts w:ascii="Arial" w:cs="Arial" w:eastAsia="Arial" w:hAnsi="Arial"/>
        </w:rPr>
        <w:t xml:space="preserve">: </w:t>
      </w:r>
      <w:r>
        <w:rPr>
          <w:rFonts w:ascii="Arial" w:cs="Arial" w:eastAsia="Arial" w:hAnsi="Arial"/>
          <w:b/>
          <w:bCs/>
        </w:rPr>
        <w:t xml:space="preserve">The translator’s workflow</w:t>
      </w:r>
      <w:r>
        <w:rPr>
          <w:rFonts w:ascii="Arial" w:cs="Arial" w:eastAsia="Arial" w:hAnsi="Arial"/>
        </w:rPr>
        <w:t xml:space="preserve"> (end of Part 1: seven steps, each linked to its chapter, with Do and Don’t boxes) and </w:t>
      </w:r>
      <w:r>
        <w:rPr>
          <w:rFonts w:ascii="Arial" w:cs="Arial" w:eastAsia="Arial" w:hAnsi="Arial"/>
          <w:b/>
          <w:bCs/>
        </w:rPr>
        <w:t xml:space="preserve">When in doubt</w:t>
      </w:r>
      <w:r>
        <w:rPr>
          <w:rFonts w:ascii="Arial" w:cs="Arial" w:eastAsia="Arial" w:hAnsi="Arial"/>
        </w:rPr>
        <w:t xml:space="preserve"> (before the closing section: what to do with an unknown word, two possible translations, or an answer from an AI tool).</w:t>
      </w:r>
    </w:p>
    <w:p>
      <w:pPr>
        <w:pStyle w:val="ListParagraph"/>
        <w:numPr>
          <w:ilvl w:val="0"/>
          <w:numId w:val="2"/>
        </w:numPr>
        <w:spacing w:after="80" w:line="290"/>
      </w:pPr>
      <w:r>
        <w:rPr>
          <w:rFonts w:ascii="Arial" w:cs="Arial" w:eastAsia="Arial" w:hAnsi="Arial"/>
          <w:b/>
          <w:bCs/>
        </w:rPr>
        <w:t xml:space="preserve">Examples reviewed</w:t>
      </w:r>
      <w:r>
        <w:rPr>
          <w:rFonts w:ascii="Arial" w:cs="Arial" w:eastAsia="Arial" w:hAnsi="Arial"/>
        </w:rPr>
        <w:t xml:space="preserve">: every example was checked against the team’s documents and Shaikha’s notes. Team examples were kept, with their errors corrected; examples written for the handbook were kept only where they show a real translation decision, and weak ones were replaced, preferably with team examples (for example, </w:t>
      </w:r>
      <w:r>
        <w:rPr>
          <w:rFonts w:ascii="Arial" w:cs="Arial" w:eastAsia="Arial" w:hAnsi="Arial"/>
          <w:i/>
          <w:iCs/>
        </w:rPr>
        <w:t xml:space="preserve">honeymoon</w:t>
      </w:r>
      <w:r>
        <w:rPr>
          <w:rFonts w:ascii="Arial" w:cs="Arial" w:eastAsia="Arial" w:hAnsi="Arial"/>
        </w:rPr>
        <w:t xml:space="preserve"> and </w:t>
      </w:r>
      <w:r>
        <w:rPr>
          <w:rFonts w:ascii="Arial" w:cs="Arial" w:eastAsia="Arial" w:hAnsi="Arial"/>
          <w:i/>
          <w:iCs/>
        </w:rPr>
        <w:t xml:space="preserve">prawns and shrimps</w:t>
      </w:r>
      <w:r>
        <w:rPr>
          <w:rFonts w:ascii="Arial" w:cs="Arial" w:eastAsia="Arial" w:hAnsi="Arial"/>
        </w:rPr>
        <w:t xml:space="preserve"> were replaced). A short “challenge” question was added to Chapters 10, 14 and 15.</w:t>
      </w:r>
    </w:p>
    <w:p>
      <w:pPr>
        <w:pStyle w:val="ListParagraph"/>
        <w:numPr>
          <w:ilvl w:val="0"/>
          <w:numId w:val="2"/>
        </w:numPr>
        <w:spacing w:after="80" w:line="290"/>
      </w:pPr>
      <w:r>
        <w:rPr>
          <w:rFonts w:ascii="Arial" w:cs="Arial" w:eastAsia="Arial" w:hAnsi="Arial"/>
          <w:b/>
          <w:bCs/>
        </w:rPr>
        <w:t xml:space="preserve">Publication review, second round</w:t>
      </w:r>
      <w:r>
        <w:rPr>
          <w:rFonts w:ascii="Arial" w:cs="Arial" w:eastAsia="Arial" w:hAnsi="Arial"/>
        </w:rPr>
        <w:t xml:space="preserve">: free translation in Chapter 11 is now taught as too literal → natural → too free, using the team’s example; the three types of equivalence (Chapter 10) are presented as this handbook’s framework, not a fixed order; the Chapter 9 proverb list was trimmed; Chapters 15–17, 20, 22, 25 and 27 were reworded where a statement was too absolute (for example “regime”, machine translation, and the choice of Arabic variety in subtitles); subtitle conventions are marked as conventions, not rules; answers are headed “Check your answers”; the AI statement on the copyright page now says that content selection, translation decisions, checking and approval were the team’s responsibility.</w:t>
      </w:r>
    </w:p>
    <w:p>
      <w:pPr>
        <w:pStyle w:val="ListParagraph"/>
        <w:numPr>
          <w:ilvl w:val="0"/>
          <w:numId w:val="2"/>
        </w:numPr>
        <w:spacing w:after="80" w:line="290"/>
      </w:pPr>
      <w:r>
        <w:rPr>
          <w:rFonts w:ascii="Arial" w:cs="Arial" w:eastAsia="Arial" w:hAnsi="Arial"/>
          <w:b/>
          <w:bCs/>
        </w:rPr>
        <w:t xml:space="preserve">Two more one-page guides</w:t>
      </w:r>
      <w:r>
        <w:rPr>
          <w:rFonts w:ascii="Arial" w:cs="Arial" w:eastAsia="Arial" w:hAnsi="Arial"/>
        </w:rPr>
        <w:t xml:space="preserve">: a </w:t>
      </w:r>
      <w:r>
        <w:rPr>
          <w:rFonts w:ascii="Arial" w:cs="Arial" w:eastAsia="Arial" w:hAnsi="Arial"/>
          <w:b/>
          <w:bCs/>
        </w:rPr>
        <w:t xml:space="preserve">Translation quality checklist</w:t>
      </w:r>
      <w:r>
        <w:rPr>
          <w:rFonts w:ascii="Arial" w:cs="Arial" w:eastAsia="Arial" w:hAnsi="Arial"/>
        </w:rPr>
        <w:t xml:space="preserve"> at the end of Part 8, and </w:t>
      </w:r>
      <w:r>
        <w:rPr>
          <w:rFonts w:ascii="Arial" w:cs="Arial" w:eastAsia="Arial" w:hAnsi="Arial"/>
          <w:b/>
          <w:bCs/>
        </w:rPr>
        <w:t xml:space="preserve">Put it all together</w:t>
      </w:r>
      <w:r>
        <w:rPr>
          <w:rFonts w:ascii="Arial" w:cs="Arial" w:eastAsia="Arial" w:hAnsi="Arial"/>
        </w:rPr>
        <w:t xml:space="preserve">, a final translation task after Chapter 27 that takes one short press release through every step of the book.</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read as general tendencies that the text type, audience and purpose can change; where a term has two Arabic equivalents, the glossary gives the preferred one first.</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Find a published source for the Arabic dubbing of </w:t>
      </w:r>
      <w:r>
        <w:rPr>
          <w:rFonts w:ascii="Arial" w:cs="Arial" w:eastAsia="Arial" w:hAnsi="Arial"/>
          <w:i/>
          <w:iCs/>
          <w:color w:val="C00000"/>
        </w:rPr>
        <w:t xml:space="preserve">The Simpsons</w:t>
      </w:r>
      <w:r>
        <w:rPr>
          <w:rFonts w:ascii="Arial" w:cs="Arial" w:eastAsia="Arial" w:hAnsi="Arial"/>
          <w:color w:val="C00000"/>
        </w:rPr>
        <w:t xml:space="preserve"> (Chapter 26), or replace the example.</w:t>
      </w:r>
    </w:p>
    <w:p>
      <w:pPr>
        <w:pStyle w:val="ListParagraph"/>
        <w:numPr>
          <w:ilvl w:val="0"/>
          <w:numId w:val="2"/>
        </w:numPr>
        <w:spacing w:after="80" w:line="290"/>
      </w:pPr>
      <w:r>
        <w:rPr>
          <w:rFonts w:ascii="Arial" w:cs="Arial" w:eastAsia="Arial" w:hAnsi="Arial"/>
          <w:color w:val="C00000"/>
        </w:rPr>
        <w:t xml:space="preserve">Give the author, publisher and year of </w:t>
      </w:r>
      <w:r>
        <w:rPr>
          <w:rFonts w:ascii="Arial" w:cs="Arial" w:eastAsia="Arial" w:hAnsi="Arial"/>
          <w:i/>
          <w:iCs/>
          <w:color w:val="C00000"/>
        </w:rPr>
        <w:t xml:space="preserve">Muʿjam al-taʿābīr al-iṣṭilāḥiyya al-Kuwaytiyya al-muqārana</w:t>
      </w:r>
      <w:r>
        <w:rPr>
          <w:rFonts w:ascii="Arial" w:cs="Arial" w:eastAsia="Arial" w:hAnsi="Arial"/>
          <w:color w:val="C00000"/>
        </w:rPr>
        <w:t xml:space="preserve"> (the Kuwaiti expressions dictionary used in Chapters 9, 15 and 27), and confirm who shared it with the team.</w:t>
      </w:r>
    </w:p>
    <w:p>
      <w:pPr>
        <w:pStyle w:val="ListParagraph"/>
        <w:numPr>
          <w:ilvl w:val="0"/>
          <w:numId w:val="2"/>
        </w:numPr>
        <w:spacing w:after="80" w:line="290"/>
      </w:pPr>
      <w:r>
        <w:rPr>
          <w:rFonts w:ascii="Arial" w:cs="Arial" w:eastAsia="Arial" w:hAnsi="Arial"/>
          <w:color w:val="C00000"/>
        </w:rPr>
        <w:t xml:space="preserve">Ask a native Arabic specialist to check every Arabic equivalent in the glossary and the chapters, and to confirm the preferred terms.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2026-09-29T10:27:38.649Z</dcterms:created>
  <dcterms:modified xsi:type="dcterms:W3CDTF">2026-09-29T10:27:38.650Z</dcterms:modified>
</cp:coreProperties>
</file>

<file path=docProps/custom.xml><?xml version="1.0" encoding="utf-8"?>
<Properties xmlns="http://schemas.openxmlformats.org/officeDocument/2006/custom-properties" xmlns:vt="http://schemas.openxmlformats.org/officeDocument/2006/docPropsVTypes"/>
</file>