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6389A803"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987879">
        <w:rPr>
          <w:sz w:val="24"/>
          <w:szCs w:val="24"/>
        </w:rPr>
        <w:t>May 10</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1F95FA2C"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1560E9C4"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BF49B2">
        <w:rPr>
          <w:sz w:val="24"/>
          <w:szCs w:val="24"/>
        </w:rPr>
        <w:t>9</w:t>
      </w:r>
    </w:p>
    <w:p w14:paraId="7E288F63" w14:textId="60FCBABD"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BF49B2">
        <w:rPr>
          <w:sz w:val="24"/>
          <w:szCs w:val="24"/>
        </w:rPr>
        <w:t>8</w:t>
      </w:r>
    </w:p>
    <w:p w14:paraId="44E9992E" w14:textId="3B83D7E1"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w:t>
      </w:r>
      <w:r w:rsidR="00BF49B2">
        <w:rPr>
          <w:sz w:val="24"/>
          <w:szCs w:val="24"/>
        </w:rPr>
        <w:t>2</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50A658CB" w14:textId="5F65DBAA"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60605E"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60605E"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7D179B8C" w14:textId="0DB74FC2" w:rsidR="00D33942" w:rsidRPr="00E15F98" w:rsidRDefault="005D10E3" w:rsidP="00A9327B">
      <w:pPr>
        <w:pStyle w:val="ListParagraph"/>
        <w:ind w:left="0"/>
        <w:rPr>
          <w:b/>
          <w:sz w:val="24"/>
          <w:szCs w:val="24"/>
        </w:rPr>
      </w:pPr>
      <w:r>
        <w:rPr>
          <w:b/>
          <w:sz w:val="24"/>
          <w:szCs w:val="24"/>
        </w:rPr>
        <w:lastRenderedPageBreak/>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w:t>
      </w:r>
      <w:r w:rsidRPr="00BC049F">
        <w:rPr>
          <w:sz w:val="24"/>
          <w:szCs w:val="24"/>
        </w:rPr>
        <w:lastRenderedPageBreak/>
        <w:t xml:space="preserve">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45D2FF" w14:textId="77777777" w:rsidR="00D33942" w:rsidRDefault="00D33942" w:rsidP="00F85A2D">
      <w:pPr>
        <w:spacing w:line="360" w:lineRule="auto"/>
        <w:rPr>
          <w:rStyle w:val="Strong"/>
          <w:sz w:val="24"/>
        </w:rPr>
      </w:pPr>
    </w:p>
    <w:p w14:paraId="56D07601" w14:textId="77777777" w:rsidR="00D33942" w:rsidRDefault="00D33942" w:rsidP="00F85A2D">
      <w:pPr>
        <w:spacing w:line="360" w:lineRule="auto"/>
        <w:rPr>
          <w:rStyle w:val="Strong"/>
          <w:sz w:val="24"/>
        </w:rPr>
      </w:pPr>
    </w:p>
    <w:p w14:paraId="3B2F4DE9" w14:textId="00BC6738"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lastRenderedPageBreak/>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w:t>
      </w:r>
      <w:r>
        <w:rPr>
          <w:rStyle w:val="Strong"/>
          <w:b w:val="0"/>
          <w:sz w:val="24"/>
          <w:szCs w:val="24"/>
        </w:rPr>
        <w:lastRenderedPageBreak/>
        <w:t xml:space="preserve">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6998AF2"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987879">
        <w:rPr>
          <w:b/>
          <w:sz w:val="24"/>
          <w:szCs w:val="24"/>
        </w:rPr>
        <w:t>May</w:t>
      </w:r>
      <w:r w:rsidR="00467C07" w:rsidRPr="00467C07">
        <w:rPr>
          <w:b/>
          <w:sz w:val="24"/>
          <w:szCs w:val="24"/>
        </w:rPr>
        <w:t xml:space="preserve"> </w:t>
      </w:r>
      <w:r w:rsidR="00987879">
        <w:rPr>
          <w:b/>
          <w:sz w:val="24"/>
          <w:szCs w:val="24"/>
        </w:rPr>
        <w:t>10</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15E4E04A"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w:t>
      </w:r>
      <w:proofErr w:type="gramStart"/>
      <w:r w:rsidR="00A95E99">
        <w:rPr>
          <w:rFonts w:ascii="Calibri" w:eastAsia="Times New Roman" w:hAnsi="Calibri" w:cs="Calibri"/>
          <w:color w:val="222222"/>
          <w:sz w:val="24"/>
          <w:szCs w:val="24"/>
        </w:rPr>
        <w:t>time period</w:t>
      </w:r>
      <w:proofErr w:type="gramEnd"/>
      <w:r w:rsidR="00A95E99">
        <w:rPr>
          <w:rFonts w:ascii="Calibri" w:eastAsia="Times New Roman" w:hAnsi="Calibri" w:cs="Calibri"/>
          <w:color w:val="222222"/>
          <w:sz w:val="24"/>
          <w:szCs w:val="24"/>
        </w:rPr>
        <w:t xml:space="preserve">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lastRenderedPageBreak/>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lastRenderedPageBreak/>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2"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2"/>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w:t>
      </w:r>
      <w:r w:rsidRPr="00FD0000">
        <w:rPr>
          <w:rFonts w:cs="Times New Roman"/>
          <w:sz w:val="24"/>
        </w:rPr>
        <w:lastRenderedPageBreak/>
        <w:t>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4"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5"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5"/>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6"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lastRenderedPageBreak/>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6"/>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w:t>
      </w:r>
      <w:r w:rsidR="0060548F">
        <w:rPr>
          <w:rFonts w:cs="Times New Roman"/>
          <w:sz w:val="24"/>
        </w:rPr>
        <w:lastRenderedPageBreak/>
        <w:t xml:space="preserve">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and one MODFLOW-2005 release (version 1.12.0). Changes made to MODFLOW-NWT and MODFLOW-</w:t>
      </w:r>
      <w:r w:rsidRPr="00DF4C51">
        <w:rPr>
          <w:sz w:val="24"/>
          <w:szCs w:val="24"/>
        </w:rPr>
        <w:lastRenderedPageBreak/>
        <w:t xml:space="preserve">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3042D8DF"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331289F" w:rsidR="003C49A2" w:rsidRPr="00F61B9B" w:rsidRDefault="003C49A2" w:rsidP="006E57BB">
      <w:pPr>
        <w:pStyle w:val="ListParagraph"/>
        <w:numPr>
          <w:ilvl w:val="0"/>
          <w:numId w:val="21"/>
        </w:numPr>
        <w:rPr>
          <w:sz w:val="24"/>
          <w:szCs w:val="24"/>
        </w:rPr>
      </w:pPr>
      <w:r>
        <w:rPr>
          <w:sz w:val="24"/>
          <w:szCs w:val="24"/>
        </w:rPr>
        <w:t>A small bug was fixed that was causing the counter on trailing waves to be off by one. This bug only affected model in vary rare cases; but, this bug could cause the model to stop suddenly.</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 xml:space="preserve">an incorrect number of records.  Program </w:t>
      </w:r>
      <w:r w:rsidRPr="00A832EB">
        <w:rPr>
          <w:sz w:val="24"/>
          <w:szCs w:val="24"/>
        </w:rPr>
        <w:lastRenderedPageBreak/>
        <w:t>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bookmarkStart w:id="7" w:name="_GoBack"/>
      <w:bookmarkEnd w:id="7"/>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lastRenderedPageBreak/>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w:t>
      </w:r>
      <w:r w:rsidRPr="00FB6574">
        <w:rPr>
          <w:rStyle w:val="Strong"/>
          <w:b w:val="0"/>
          <w:sz w:val="24"/>
        </w:rPr>
        <w:lastRenderedPageBreak/>
        <w:t xml:space="preserve">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w:t>
      </w:r>
      <w:r>
        <w:rPr>
          <w:sz w:val="24"/>
          <w:szCs w:val="24"/>
        </w:rPr>
        <w:lastRenderedPageBreak/>
        <w:t>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lastRenderedPageBreak/>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lastRenderedPageBreak/>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w:t>
      </w:r>
      <w:r w:rsidR="006C48EC">
        <w:rPr>
          <w:rStyle w:val="Strong"/>
          <w:b w:val="0"/>
          <w:sz w:val="24"/>
          <w:szCs w:val="24"/>
        </w:rPr>
        <w:lastRenderedPageBreak/>
        <w:t xml:space="preserve">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w:t>
      </w:r>
      <w:r w:rsidRPr="008024AE">
        <w:rPr>
          <w:rFonts w:cs="Courier New"/>
          <w:sz w:val="24"/>
          <w:szCs w:val="20"/>
        </w:rPr>
        <w:lastRenderedPageBreak/>
        <w:t xml:space="preserve">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 xml:space="preserve">could have caused memory </w:t>
      </w:r>
      <w:r w:rsidRPr="00EF1977">
        <w:rPr>
          <w:rFonts w:cs="Courier New"/>
          <w:sz w:val="24"/>
          <w:szCs w:val="24"/>
        </w:rPr>
        <w:lastRenderedPageBreak/>
        <w:t>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lastRenderedPageBreak/>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lastRenderedPageBreak/>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lastRenderedPageBreak/>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lastRenderedPageBreak/>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lastRenderedPageBreak/>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t>
      </w:r>
      <w:r>
        <w:rPr>
          <w:rFonts w:asciiTheme="minorHAnsi" w:hAnsiTheme="minorHAnsi" w:cs="Courier New"/>
          <w:sz w:val="24"/>
          <w:szCs w:val="24"/>
        </w:rPr>
        <w:lastRenderedPageBreak/>
        <w:t>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lastRenderedPageBreak/>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w:t>
      </w:r>
      <w:r w:rsidRPr="000D3B5A">
        <w:rPr>
          <w:rFonts w:cs="Courier New"/>
          <w:sz w:val="24"/>
          <w:szCs w:val="24"/>
        </w:rPr>
        <w:lastRenderedPageBreak/>
        <w:t xml:space="preserve">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lastRenderedPageBreak/>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lastRenderedPageBreak/>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lastRenderedPageBreak/>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lastRenderedPageBreak/>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lastRenderedPageBreak/>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w:t>
      </w:r>
      <w:r w:rsidRPr="00131DDC">
        <w:rPr>
          <w:sz w:val="24"/>
          <w:szCs w:val="24"/>
        </w:rPr>
        <w:lastRenderedPageBreak/>
        <w:t xml:space="preserve">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w:t>
      </w:r>
      <w:r w:rsidRPr="00B92D04">
        <w:rPr>
          <w:sz w:val="24"/>
          <w:szCs w:val="24"/>
        </w:rPr>
        <w:lastRenderedPageBreak/>
        <w:t xml:space="preserve">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lastRenderedPageBreak/>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 xml:space="preserve">be sure the computed contributing area </w:t>
      </w:r>
      <w:r w:rsidRPr="0001391C">
        <w:rPr>
          <w:rStyle w:val="Strong"/>
          <w:b w:val="0"/>
          <w:sz w:val="24"/>
        </w:rPr>
        <w:lastRenderedPageBreak/>
        <w:t>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w:t>
      </w:r>
      <w:r w:rsidRPr="0001391C">
        <w:rPr>
          <w:rStyle w:val="Strong"/>
          <w:b w:val="0"/>
          <w:sz w:val="24"/>
        </w:rPr>
        <w:lastRenderedPageBreak/>
        <w:t xml:space="preserve">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F3CA4" w14:textId="77777777" w:rsidR="0060605E" w:rsidRDefault="0060605E" w:rsidP="00B013A3">
      <w:r>
        <w:separator/>
      </w:r>
    </w:p>
  </w:endnote>
  <w:endnote w:type="continuationSeparator" w:id="0">
    <w:p w14:paraId="70699E3B" w14:textId="77777777" w:rsidR="0060605E" w:rsidRDefault="0060605E"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FF6F2C" w:rsidRDefault="00FF6F2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FF6F2C" w:rsidRDefault="00FF6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5DEE0" w14:textId="77777777" w:rsidR="0060605E" w:rsidRDefault="0060605E" w:rsidP="00B013A3">
      <w:r>
        <w:separator/>
      </w:r>
    </w:p>
  </w:footnote>
  <w:footnote w:type="continuationSeparator" w:id="0">
    <w:p w14:paraId="54340394" w14:textId="77777777" w:rsidR="0060605E" w:rsidRDefault="0060605E"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0605E"/>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A6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5E99"/>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66A"/>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9B2"/>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3942"/>
    <w:rsid w:val="00D36B32"/>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48E"/>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B051-1D1C-463E-B23A-9A973E3F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60</Pages>
  <Words>21803</Words>
  <Characters>124280</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23</cp:revision>
  <cp:lastPrinted>2018-03-12T17:13:00Z</cp:lastPrinted>
  <dcterms:created xsi:type="dcterms:W3CDTF">2019-02-26T19:39:00Z</dcterms:created>
  <dcterms:modified xsi:type="dcterms:W3CDTF">2019-05-14T20:25:00Z</dcterms:modified>
</cp:coreProperties>
</file>