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CF94D" w14:textId="76C9165F" w:rsidR="008A59E1" w:rsidRDefault="003177CB">
      <w:r>
        <w:t>Introduction</w:t>
      </w:r>
    </w:p>
    <w:p w14:paraId="1F67D691" w14:textId="77777777" w:rsidR="002F0C88" w:rsidRDefault="002F0C88"/>
    <w:p w14:paraId="31569002" w14:textId="4E57A7DC" w:rsidR="003177CB" w:rsidRDefault="00694258" w:rsidP="006A0A66">
      <w:pPr>
        <w:pStyle w:val="Heading1"/>
      </w:pPr>
      <w:r w:rsidRPr="006A0A66">
        <w:t xml:space="preserve">Management plan </w:t>
      </w:r>
    </w:p>
    <w:p w14:paraId="6C01E1EF" w14:textId="1DE26977" w:rsidR="00286E23" w:rsidRPr="00905608" w:rsidRDefault="00136D1D" w:rsidP="00905608">
      <w:pPr>
        <w:spacing w:before="240" w:line="240" w:lineRule="auto"/>
        <w:jc w:val="both"/>
      </w:pPr>
      <w:r w:rsidRPr="00905608">
        <w:t>A payment</w:t>
      </w:r>
      <w:r w:rsidR="00905608" w:rsidRPr="00905608">
        <w:t xml:space="preserve"> </w:t>
      </w:r>
      <w:r w:rsidRPr="00905608">
        <w:t xml:space="preserve">card industry data security management plan is a properly written and designed process that ensures secure </w:t>
      </w:r>
      <w:r w:rsidR="00905608" w:rsidRPr="00905608">
        <w:t>management</w:t>
      </w:r>
      <w:r w:rsidRPr="00905608">
        <w:t>, storage, and transmission of payment</w:t>
      </w:r>
      <w:r w:rsidR="00905608" w:rsidRPr="00905608">
        <w:t xml:space="preserve"> </w:t>
      </w:r>
      <w:r w:rsidRPr="00905608">
        <w:t xml:space="preserve">card data inside an </w:t>
      </w:r>
      <w:r w:rsidR="00905608" w:rsidRPr="00905608">
        <w:t>organization</w:t>
      </w:r>
      <w:r w:rsidRPr="00905608">
        <w:t>. The</w:t>
      </w:r>
      <w:r w:rsidR="00905608">
        <w:t xml:space="preserve"> </w:t>
      </w:r>
      <w:r w:rsidRPr="00905608">
        <w:t>plan lets in an outline to keep compliance with the PCI DSS requirement. </w:t>
      </w:r>
      <w:r w:rsidR="00905608" w:rsidRPr="00905608">
        <w:t>The management plan constructs steady surroundings for clients' secure payment environment by combining key factors, including risk assessment, security coverage strategies, access controls, encryption measures, and reporting</w:t>
      </w:r>
      <w:r w:rsidRPr="00905608">
        <w:t xml:space="preserve">. Overall, it minimizes the </w:t>
      </w:r>
      <w:r w:rsidR="00905608" w:rsidRPr="00905608">
        <w:t xml:space="preserve">potential </w:t>
      </w:r>
      <w:r w:rsidRPr="00905608">
        <w:t xml:space="preserve">for data breaching and </w:t>
      </w:r>
      <w:r w:rsidR="00905608" w:rsidRPr="00905608">
        <w:t>maintains</w:t>
      </w:r>
      <w:r w:rsidRPr="00905608">
        <w:t xml:space="preserve"> the framework of a responsible custodian.</w:t>
      </w:r>
    </w:p>
    <w:tbl>
      <w:tblPr>
        <w:tblStyle w:val="TableGrid"/>
        <w:tblW w:w="9944" w:type="dxa"/>
        <w:tblLook w:val="04A0" w:firstRow="1" w:lastRow="0" w:firstColumn="1" w:lastColumn="0" w:noHBand="0" w:noVBand="1"/>
      </w:tblPr>
      <w:tblGrid>
        <w:gridCol w:w="1664"/>
        <w:gridCol w:w="90"/>
        <w:gridCol w:w="1713"/>
        <w:gridCol w:w="1612"/>
        <w:gridCol w:w="1710"/>
        <w:gridCol w:w="1678"/>
        <w:gridCol w:w="1477"/>
      </w:tblGrid>
      <w:tr w:rsidR="004379EB" w14:paraId="4C0AF281" w14:textId="77777777" w:rsidTr="00D0380E">
        <w:trPr>
          <w:trHeight w:val="1130"/>
        </w:trPr>
        <w:tc>
          <w:tcPr>
            <w:tcW w:w="1754" w:type="dxa"/>
            <w:gridSpan w:val="2"/>
          </w:tcPr>
          <w:p w14:paraId="6E93EFEE" w14:textId="43844004" w:rsidR="00AD11A4" w:rsidRDefault="006A0A66" w:rsidP="004379EB">
            <w:pPr>
              <w:spacing w:before="240"/>
              <w:jc w:val="center"/>
            </w:pPr>
            <w:r>
              <w:t>Requirement</w:t>
            </w:r>
          </w:p>
        </w:tc>
        <w:tc>
          <w:tcPr>
            <w:tcW w:w="1713" w:type="dxa"/>
          </w:tcPr>
          <w:p w14:paraId="3C686D8E" w14:textId="139CCF3E" w:rsidR="00AD11A4" w:rsidRDefault="00AD11A4" w:rsidP="004379EB">
            <w:pPr>
              <w:spacing w:before="240"/>
            </w:pPr>
            <w:r>
              <w:t>PCI REQ (IF APPLICABLE)</w:t>
            </w:r>
          </w:p>
        </w:tc>
        <w:tc>
          <w:tcPr>
            <w:tcW w:w="1612" w:type="dxa"/>
          </w:tcPr>
          <w:p w14:paraId="0D3FB03D" w14:textId="06E65919" w:rsidR="00AD11A4" w:rsidRDefault="006A0A66" w:rsidP="004379EB">
            <w:pPr>
              <w:spacing w:before="240"/>
            </w:pPr>
            <w:r>
              <w:t>INITIAL</w:t>
            </w:r>
            <w:r w:rsidR="00AD11A4">
              <w:t xml:space="preserve"> COST</w:t>
            </w:r>
          </w:p>
        </w:tc>
        <w:tc>
          <w:tcPr>
            <w:tcW w:w="1710" w:type="dxa"/>
          </w:tcPr>
          <w:p w14:paraId="5F58CADB" w14:textId="30DA19BF" w:rsidR="00AD11A4" w:rsidRDefault="00AD11A4" w:rsidP="004379EB">
            <w:pPr>
              <w:spacing w:before="240"/>
            </w:pPr>
            <w:r>
              <w:t>ANNUAL COST</w:t>
            </w:r>
          </w:p>
        </w:tc>
        <w:tc>
          <w:tcPr>
            <w:tcW w:w="1678" w:type="dxa"/>
          </w:tcPr>
          <w:p w14:paraId="6C6B2453" w14:textId="552B8A05" w:rsidR="00AD11A4" w:rsidRDefault="006A0A66" w:rsidP="004379EB">
            <w:pPr>
              <w:spacing w:before="240"/>
            </w:pPr>
            <w:r>
              <w:t>INITIAL</w:t>
            </w:r>
            <w:r w:rsidR="00AD11A4">
              <w:t xml:space="preserve"> COST</w:t>
            </w:r>
          </w:p>
        </w:tc>
        <w:tc>
          <w:tcPr>
            <w:tcW w:w="1477" w:type="dxa"/>
          </w:tcPr>
          <w:p w14:paraId="655D6C27" w14:textId="78D3ED12" w:rsidR="00AD11A4" w:rsidRDefault="006A0A66" w:rsidP="004379EB">
            <w:pPr>
              <w:spacing w:before="240"/>
            </w:pPr>
            <w:r>
              <w:t>ANNUAL</w:t>
            </w:r>
            <w:r w:rsidR="00AD11A4">
              <w:t xml:space="preserve"> COST</w:t>
            </w:r>
          </w:p>
        </w:tc>
      </w:tr>
      <w:tr w:rsidR="00371C65" w14:paraId="60F4D8F4" w14:textId="77777777" w:rsidTr="00D0380E">
        <w:trPr>
          <w:trHeight w:val="548"/>
        </w:trPr>
        <w:tc>
          <w:tcPr>
            <w:tcW w:w="9944" w:type="dxa"/>
            <w:gridSpan w:val="7"/>
            <w:shd w:val="clear" w:color="auto" w:fill="767171" w:themeFill="background2" w:themeFillShade="80"/>
          </w:tcPr>
          <w:p w14:paraId="122CEFB6" w14:textId="091A6703" w:rsidR="00371C65" w:rsidRDefault="00371C65" w:rsidP="004379EB">
            <w:pPr>
              <w:spacing w:before="240"/>
              <w:jc w:val="center"/>
            </w:pPr>
            <w:r>
              <w:t>HARDWARE</w:t>
            </w:r>
          </w:p>
        </w:tc>
      </w:tr>
      <w:tr w:rsidR="004379EB" w14:paraId="5E42522F" w14:textId="77777777" w:rsidTr="00D0380E">
        <w:trPr>
          <w:trHeight w:val="579"/>
        </w:trPr>
        <w:tc>
          <w:tcPr>
            <w:tcW w:w="1754" w:type="dxa"/>
            <w:gridSpan w:val="2"/>
          </w:tcPr>
          <w:p w14:paraId="2C33FF8E" w14:textId="54EE89C6" w:rsidR="00AD11A4" w:rsidRDefault="00371C65" w:rsidP="004379EB">
            <w:pPr>
              <w:spacing w:before="240"/>
              <w:jc w:val="center"/>
            </w:pPr>
            <w:r>
              <w:t>Firewall for the office</w:t>
            </w:r>
          </w:p>
        </w:tc>
        <w:tc>
          <w:tcPr>
            <w:tcW w:w="1713" w:type="dxa"/>
          </w:tcPr>
          <w:p w14:paraId="61DFA82D" w14:textId="0FF9D13D" w:rsidR="00AD11A4" w:rsidRDefault="00371C65" w:rsidP="004379EB">
            <w:pPr>
              <w:spacing w:before="240"/>
            </w:pPr>
            <w:r>
              <w:t>1.1,1.2,1.3</w:t>
            </w:r>
          </w:p>
        </w:tc>
        <w:tc>
          <w:tcPr>
            <w:tcW w:w="1612" w:type="dxa"/>
          </w:tcPr>
          <w:p w14:paraId="5C43AC06" w14:textId="3699251C" w:rsidR="00AD11A4" w:rsidRDefault="00371C65" w:rsidP="004379EB">
            <w:pPr>
              <w:spacing w:before="240"/>
            </w:pPr>
            <w:r>
              <w:t xml:space="preserve"> $2000</w:t>
            </w:r>
          </w:p>
        </w:tc>
        <w:tc>
          <w:tcPr>
            <w:tcW w:w="1710" w:type="dxa"/>
          </w:tcPr>
          <w:p w14:paraId="2B2B4EAD" w14:textId="535D551E" w:rsidR="00AD11A4" w:rsidRDefault="00371C65" w:rsidP="004379EB">
            <w:pPr>
              <w:spacing w:before="240"/>
            </w:pPr>
            <w:r>
              <w:t>$100</w:t>
            </w:r>
          </w:p>
        </w:tc>
        <w:tc>
          <w:tcPr>
            <w:tcW w:w="1678" w:type="dxa"/>
          </w:tcPr>
          <w:p w14:paraId="37761D49" w14:textId="4E52FB08" w:rsidR="00AD11A4" w:rsidRDefault="00371C65" w:rsidP="004379EB">
            <w:pPr>
              <w:spacing w:before="240"/>
            </w:pPr>
            <w:r>
              <w:t>$1200</w:t>
            </w:r>
          </w:p>
        </w:tc>
        <w:tc>
          <w:tcPr>
            <w:tcW w:w="1477" w:type="dxa"/>
          </w:tcPr>
          <w:p w14:paraId="494E5C93" w14:textId="5DE90101" w:rsidR="00AD11A4" w:rsidRDefault="00371C65" w:rsidP="004379EB">
            <w:pPr>
              <w:spacing w:before="240"/>
            </w:pPr>
            <w:r>
              <w:t>$50</w:t>
            </w:r>
          </w:p>
        </w:tc>
      </w:tr>
      <w:tr w:rsidR="004379EB" w14:paraId="72413A6A" w14:textId="77777777" w:rsidTr="00D0380E">
        <w:trPr>
          <w:trHeight w:val="548"/>
        </w:trPr>
        <w:tc>
          <w:tcPr>
            <w:tcW w:w="1754" w:type="dxa"/>
            <w:gridSpan w:val="2"/>
          </w:tcPr>
          <w:p w14:paraId="3157CCA9" w14:textId="6A76577A" w:rsidR="00AD11A4" w:rsidRDefault="00371C65" w:rsidP="004379EB">
            <w:pPr>
              <w:spacing w:before="240"/>
              <w:jc w:val="center"/>
            </w:pPr>
            <w:r>
              <w:t xml:space="preserve">Firewall for wireless </w:t>
            </w:r>
            <w:r w:rsidR="006A0A66">
              <w:t>LAN</w:t>
            </w:r>
          </w:p>
        </w:tc>
        <w:tc>
          <w:tcPr>
            <w:tcW w:w="1713" w:type="dxa"/>
          </w:tcPr>
          <w:p w14:paraId="10534557" w14:textId="48535C40" w:rsidR="00AD11A4" w:rsidRDefault="00371C65" w:rsidP="004379EB">
            <w:pPr>
              <w:spacing w:before="240"/>
            </w:pPr>
            <w:r>
              <w:t>1.2.3</w:t>
            </w:r>
          </w:p>
        </w:tc>
        <w:tc>
          <w:tcPr>
            <w:tcW w:w="1612" w:type="dxa"/>
          </w:tcPr>
          <w:p w14:paraId="6597DB31" w14:textId="5E425FFF" w:rsidR="00AD11A4" w:rsidRDefault="00371C65" w:rsidP="004379EB">
            <w:pPr>
              <w:spacing w:before="240"/>
            </w:pPr>
            <w:r>
              <w:t>$1000</w:t>
            </w:r>
          </w:p>
        </w:tc>
        <w:tc>
          <w:tcPr>
            <w:tcW w:w="1710" w:type="dxa"/>
          </w:tcPr>
          <w:p w14:paraId="0DC0D6AC" w14:textId="078864FC" w:rsidR="00AD11A4" w:rsidRDefault="00371C65" w:rsidP="004379EB">
            <w:pPr>
              <w:spacing w:before="240"/>
            </w:pPr>
            <w:r>
              <w:t>$50</w:t>
            </w:r>
          </w:p>
        </w:tc>
        <w:tc>
          <w:tcPr>
            <w:tcW w:w="1678" w:type="dxa"/>
          </w:tcPr>
          <w:p w14:paraId="39F83F3B" w14:textId="71EFCFFC" w:rsidR="00AD11A4" w:rsidRDefault="00371C65" w:rsidP="004379EB">
            <w:pPr>
              <w:spacing w:before="240"/>
            </w:pPr>
            <w:r>
              <w:t xml:space="preserve">$0 </w:t>
            </w:r>
          </w:p>
        </w:tc>
        <w:tc>
          <w:tcPr>
            <w:tcW w:w="1477" w:type="dxa"/>
          </w:tcPr>
          <w:p w14:paraId="039E7D80" w14:textId="76D71F02" w:rsidR="00AD11A4" w:rsidRDefault="00371C65" w:rsidP="004379EB">
            <w:pPr>
              <w:spacing w:before="240"/>
            </w:pPr>
            <w:r>
              <w:t>$0</w:t>
            </w:r>
          </w:p>
        </w:tc>
      </w:tr>
      <w:tr w:rsidR="004379EB" w14:paraId="624C74D0" w14:textId="77777777" w:rsidTr="00D0380E">
        <w:trPr>
          <w:trHeight w:val="548"/>
        </w:trPr>
        <w:tc>
          <w:tcPr>
            <w:tcW w:w="1754" w:type="dxa"/>
            <w:gridSpan w:val="2"/>
          </w:tcPr>
          <w:p w14:paraId="4B6AE713" w14:textId="54C04F30" w:rsidR="00AD11A4" w:rsidRDefault="00371C65" w:rsidP="004379EB">
            <w:pPr>
              <w:spacing w:before="240"/>
              <w:jc w:val="center"/>
            </w:pPr>
            <w:r>
              <w:t>Layer 3 Switch</w:t>
            </w:r>
          </w:p>
        </w:tc>
        <w:tc>
          <w:tcPr>
            <w:tcW w:w="1713" w:type="dxa"/>
          </w:tcPr>
          <w:p w14:paraId="5F2F9366" w14:textId="3BFB6770" w:rsidR="00AD11A4" w:rsidRDefault="00371C65" w:rsidP="004379EB">
            <w:pPr>
              <w:spacing w:before="240"/>
            </w:pPr>
            <w:r>
              <w:t>1.3,11.3</w:t>
            </w:r>
          </w:p>
        </w:tc>
        <w:tc>
          <w:tcPr>
            <w:tcW w:w="1612" w:type="dxa"/>
          </w:tcPr>
          <w:p w14:paraId="3F36A58B" w14:textId="20BA60A5" w:rsidR="00AD11A4" w:rsidRDefault="00371C65" w:rsidP="004379EB">
            <w:pPr>
              <w:spacing w:before="240"/>
            </w:pPr>
            <w:r>
              <w:t>$1000</w:t>
            </w:r>
          </w:p>
        </w:tc>
        <w:tc>
          <w:tcPr>
            <w:tcW w:w="1710" w:type="dxa"/>
          </w:tcPr>
          <w:p w14:paraId="2E799825" w14:textId="506768A0" w:rsidR="00AD11A4" w:rsidRDefault="00371C65" w:rsidP="004379EB">
            <w:pPr>
              <w:spacing w:before="240"/>
            </w:pPr>
            <w:r>
              <w:t>$50</w:t>
            </w:r>
          </w:p>
        </w:tc>
        <w:tc>
          <w:tcPr>
            <w:tcW w:w="1678" w:type="dxa"/>
          </w:tcPr>
          <w:p w14:paraId="09CE8455" w14:textId="2B74DB00" w:rsidR="00AD11A4" w:rsidRDefault="00371C65" w:rsidP="004379EB">
            <w:pPr>
              <w:spacing w:before="240"/>
            </w:pPr>
            <w:r>
              <w:t>$750</w:t>
            </w:r>
          </w:p>
        </w:tc>
        <w:tc>
          <w:tcPr>
            <w:tcW w:w="1477" w:type="dxa"/>
          </w:tcPr>
          <w:p w14:paraId="52B76FE5" w14:textId="58589098" w:rsidR="00AD11A4" w:rsidRDefault="00371C65" w:rsidP="004379EB">
            <w:pPr>
              <w:spacing w:before="240"/>
            </w:pPr>
            <w:r>
              <w:t>$50</w:t>
            </w:r>
          </w:p>
        </w:tc>
      </w:tr>
      <w:tr w:rsidR="004379EB" w14:paraId="4095C677" w14:textId="77777777" w:rsidTr="00D0380E">
        <w:trPr>
          <w:trHeight w:val="579"/>
        </w:trPr>
        <w:tc>
          <w:tcPr>
            <w:tcW w:w="1754" w:type="dxa"/>
            <w:gridSpan w:val="2"/>
          </w:tcPr>
          <w:p w14:paraId="2A2A3A7D" w14:textId="35858441" w:rsidR="00AD11A4" w:rsidRDefault="00371C65" w:rsidP="004379EB">
            <w:pPr>
              <w:spacing w:before="240"/>
              <w:jc w:val="center"/>
            </w:pPr>
            <w:r>
              <w:t>Physical security</w:t>
            </w:r>
          </w:p>
        </w:tc>
        <w:tc>
          <w:tcPr>
            <w:tcW w:w="1713" w:type="dxa"/>
          </w:tcPr>
          <w:p w14:paraId="3112889B" w14:textId="483CA288" w:rsidR="00AD11A4" w:rsidRDefault="00371C65" w:rsidP="004379EB">
            <w:pPr>
              <w:spacing w:before="240"/>
            </w:pPr>
            <w:r>
              <w:t>9.3</w:t>
            </w:r>
          </w:p>
        </w:tc>
        <w:tc>
          <w:tcPr>
            <w:tcW w:w="1612" w:type="dxa"/>
          </w:tcPr>
          <w:p w14:paraId="2F0F68D1" w14:textId="7D28B0CE" w:rsidR="00AD11A4" w:rsidRDefault="00371C65" w:rsidP="004379EB">
            <w:pPr>
              <w:spacing w:before="240"/>
            </w:pPr>
            <w:r>
              <w:t>$2000</w:t>
            </w:r>
          </w:p>
        </w:tc>
        <w:tc>
          <w:tcPr>
            <w:tcW w:w="1710" w:type="dxa"/>
          </w:tcPr>
          <w:p w14:paraId="7D34F0D7" w14:textId="6245288E" w:rsidR="00AD11A4" w:rsidRDefault="00371C65" w:rsidP="004379EB">
            <w:pPr>
              <w:spacing w:before="240"/>
            </w:pPr>
            <w:r>
              <w:t>$0</w:t>
            </w:r>
          </w:p>
        </w:tc>
        <w:tc>
          <w:tcPr>
            <w:tcW w:w="1678" w:type="dxa"/>
          </w:tcPr>
          <w:p w14:paraId="73085CEA" w14:textId="47C5F70F" w:rsidR="00AD11A4" w:rsidRDefault="00371C65" w:rsidP="004379EB">
            <w:pPr>
              <w:spacing w:before="240"/>
            </w:pPr>
            <w:r>
              <w:t>$1000</w:t>
            </w:r>
          </w:p>
        </w:tc>
        <w:tc>
          <w:tcPr>
            <w:tcW w:w="1477" w:type="dxa"/>
          </w:tcPr>
          <w:p w14:paraId="22E1841B" w14:textId="795B9DCF" w:rsidR="00AD11A4" w:rsidRDefault="00371C65" w:rsidP="004379EB">
            <w:pPr>
              <w:spacing w:before="240"/>
            </w:pPr>
            <w:r>
              <w:t>$0</w:t>
            </w:r>
          </w:p>
        </w:tc>
      </w:tr>
      <w:tr w:rsidR="004379EB" w14:paraId="3DB855B6" w14:textId="77777777" w:rsidTr="00D0380E">
        <w:trPr>
          <w:trHeight w:val="548"/>
        </w:trPr>
        <w:tc>
          <w:tcPr>
            <w:tcW w:w="1754" w:type="dxa"/>
            <w:gridSpan w:val="2"/>
          </w:tcPr>
          <w:p w14:paraId="4CEBA815" w14:textId="57F4F38F" w:rsidR="00AD11A4" w:rsidRDefault="00371C65" w:rsidP="004379EB">
            <w:pPr>
              <w:spacing w:before="240"/>
              <w:jc w:val="center"/>
            </w:pPr>
            <w:r>
              <w:t>Video surveillance</w:t>
            </w:r>
          </w:p>
        </w:tc>
        <w:tc>
          <w:tcPr>
            <w:tcW w:w="1713" w:type="dxa"/>
          </w:tcPr>
          <w:p w14:paraId="079C1A34" w14:textId="24261811" w:rsidR="00AD11A4" w:rsidRDefault="00371C65" w:rsidP="004379EB">
            <w:pPr>
              <w:spacing w:before="240"/>
            </w:pPr>
            <w:r>
              <w:t>9.1.1</w:t>
            </w:r>
          </w:p>
        </w:tc>
        <w:tc>
          <w:tcPr>
            <w:tcW w:w="1612" w:type="dxa"/>
          </w:tcPr>
          <w:p w14:paraId="0AA5F7F0" w14:textId="05B04EE7" w:rsidR="00AD11A4" w:rsidRDefault="00371C65" w:rsidP="004379EB">
            <w:pPr>
              <w:spacing w:before="240"/>
            </w:pPr>
            <w:r>
              <w:t>$5000</w:t>
            </w:r>
          </w:p>
        </w:tc>
        <w:tc>
          <w:tcPr>
            <w:tcW w:w="1710" w:type="dxa"/>
          </w:tcPr>
          <w:p w14:paraId="1C256AC3" w14:textId="5C11B71D" w:rsidR="00AD11A4" w:rsidRDefault="00371C65" w:rsidP="004379EB">
            <w:pPr>
              <w:spacing w:before="240"/>
            </w:pPr>
            <w:r>
              <w:t>$500</w:t>
            </w:r>
          </w:p>
        </w:tc>
        <w:tc>
          <w:tcPr>
            <w:tcW w:w="1678" w:type="dxa"/>
          </w:tcPr>
          <w:p w14:paraId="627D73A2" w14:textId="161D264E" w:rsidR="00AD11A4" w:rsidRDefault="00371C65" w:rsidP="004379EB">
            <w:pPr>
              <w:spacing w:before="240"/>
            </w:pPr>
            <w:r>
              <w:t>$3000</w:t>
            </w:r>
          </w:p>
        </w:tc>
        <w:tc>
          <w:tcPr>
            <w:tcW w:w="1477" w:type="dxa"/>
          </w:tcPr>
          <w:p w14:paraId="01CA01EB" w14:textId="28D4F722" w:rsidR="00AD11A4" w:rsidRDefault="00371C65" w:rsidP="004379EB">
            <w:pPr>
              <w:spacing w:before="240"/>
            </w:pPr>
            <w:r>
              <w:t>$250</w:t>
            </w:r>
          </w:p>
        </w:tc>
      </w:tr>
      <w:tr w:rsidR="00371C65" w14:paraId="06B5FC01" w14:textId="77777777" w:rsidTr="00D0380E">
        <w:trPr>
          <w:trHeight w:val="548"/>
        </w:trPr>
        <w:tc>
          <w:tcPr>
            <w:tcW w:w="9944" w:type="dxa"/>
            <w:gridSpan w:val="7"/>
            <w:shd w:val="clear" w:color="auto" w:fill="767171" w:themeFill="background2" w:themeFillShade="80"/>
          </w:tcPr>
          <w:p w14:paraId="11D07F72" w14:textId="6C53A206" w:rsidR="00371C65" w:rsidRPr="00D0380E" w:rsidRDefault="00D0380E" w:rsidP="004379EB">
            <w:pPr>
              <w:spacing w:before="240"/>
              <w:jc w:val="center"/>
              <w:rPr>
                <w:highlight w:val="darkGray"/>
              </w:rPr>
            </w:pPr>
            <w:r w:rsidRPr="00D0380E">
              <w:rPr>
                <w:highlight w:val="darkGray"/>
              </w:rPr>
              <w:t>SOFTWARE</w:t>
            </w:r>
          </w:p>
        </w:tc>
      </w:tr>
      <w:tr w:rsidR="004379EB" w14:paraId="61173BA5" w14:textId="77777777" w:rsidTr="00D0380E">
        <w:trPr>
          <w:trHeight w:val="548"/>
        </w:trPr>
        <w:tc>
          <w:tcPr>
            <w:tcW w:w="1664" w:type="dxa"/>
          </w:tcPr>
          <w:p w14:paraId="63F499D3" w14:textId="75C9BA94" w:rsidR="00371C65" w:rsidRDefault="006A0A66" w:rsidP="004379EB">
            <w:pPr>
              <w:spacing w:before="240"/>
              <w:jc w:val="center"/>
            </w:pPr>
            <w:r>
              <w:t>Antivirus</w:t>
            </w:r>
          </w:p>
        </w:tc>
        <w:tc>
          <w:tcPr>
            <w:tcW w:w="1803" w:type="dxa"/>
            <w:gridSpan w:val="2"/>
          </w:tcPr>
          <w:p w14:paraId="39BE1AFB" w14:textId="0564EC4B" w:rsidR="00371C65" w:rsidRDefault="00371C65" w:rsidP="004379EB">
            <w:pPr>
              <w:spacing w:before="240"/>
              <w:jc w:val="center"/>
            </w:pPr>
            <w:r>
              <w:t>5.1,5.2</w:t>
            </w:r>
          </w:p>
        </w:tc>
        <w:tc>
          <w:tcPr>
            <w:tcW w:w="1612" w:type="dxa"/>
          </w:tcPr>
          <w:p w14:paraId="4D1DD52B" w14:textId="608B4865" w:rsidR="00371C65" w:rsidRDefault="00371C65" w:rsidP="004379EB">
            <w:pPr>
              <w:spacing w:before="240"/>
            </w:pPr>
            <w:r>
              <w:t>$200</w:t>
            </w:r>
          </w:p>
        </w:tc>
        <w:tc>
          <w:tcPr>
            <w:tcW w:w="1710" w:type="dxa"/>
          </w:tcPr>
          <w:p w14:paraId="0C879F20" w14:textId="178923BA" w:rsidR="00371C65" w:rsidRDefault="00371C65" w:rsidP="004379EB">
            <w:pPr>
              <w:spacing w:before="240"/>
            </w:pPr>
            <w:r>
              <w:t>$200</w:t>
            </w:r>
          </w:p>
        </w:tc>
        <w:tc>
          <w:tcPr>
            <w:tcW w:w="1678" w:type="dxa"/>
          </w:tcPr>
          <w:p w14:paraId="49F0538F" w14:textId="57A5ABD7" w:rsidR="00371C65" w:rsidRDefault="00371C65" w:rsidP="004379EB">
            <w:pPr>
              <w:spacing w:before="240"/>
            </w:pPr>
            <w:r>
              <w:t>$100</w:t>
            </w:r>
          </w:p>
        </w:tc>
        <w:tc>
          <w:tcPr>
            <w:tcW w:w="1477" w:type="dxa"/>
          </w:tcPr>
          <w:p w14:paraId="7BFAD701" w14:textId="7B63DB12" w:rsidR="00371C65" w:rsidRDefault="00371C65" w:rsidP="004379EB">
            <w:pPr>
              <w:spacing w:before="240"/>
            </w:pPr>
            <w:r>
              <w:t>$100</w:t>
            </w:r>
          </w:p>
        </w:tc>
      </w:tr>
      <w:tr w:rsidR="004379EB" w14:paraId="38D10B6A" w14:textId="77777777" w:rsidTr="00D0380E">
        <w:trPr>
          <w:trHeight w:val="548"/>
        </w:trPr>
        <w:tc>
          <w:tcPr>
            <w:tcW w:w="1664" w:type="dxa"/>
          </w:tcPr>
          <w:p w14:paraId="1DA9EAAB" w14:textId="446E0A30" w:rsidR="00371C65" w:rsidRDefault="00371C65" w:rsidP="004379EB">
            <w:pPr>
              <w:spacing w:before="240"/>
              <w:jc w:val="center"/>
            </w:pPr>
            <w:r>
              <w:t>Personal firewalls</w:t>
            </w:r>
          </w:p>
        </w:tc>
        <w:tc>
          <w:tcPr>
            <w:tcW w:w="1803" w:type="dxa"/>
            <w:gridSpan w:val="2"/>
          </w:tcPr>
          <w:p w14:paraId="1A9C52D4" w14:textId="2C42D8C7" w:rsidR="00371C65" w:rsidRDefault="00371C65" w:rsidP="004379EB">
            <w:pPr>
              <w:spacing w:before="240"/>
              <w:jc w:val="center"/>
            </w:pPr>
            <w:r>
              <w:t>1.4</w:t>
            </w:r>
          </w:p>
        </w:tc>
        <w:tc>
          <w:tcPr>
            <w:tcW w:w="1612" w:type="dxa"/>
          </w:tcPr>
          <w:p w14:paraId="7A224509" w14:textId="4A7A5A50" w:rsidR="00371C65" w:rsidRDefault="00371C65" w:rsidP="004379EB">
            <w:pPr>
              <w:spacing w:before="240"/>
            </w:pPr>
            <w:r>
              <w:t>$200</w:t>
            </w:r>
          </w:p>
        </w:tc>
        <w:tc>
          <w:tcPr>
            <w:tcW w:w="1710" w:type="dxa"/>
          </w:tcPr>
          <w:p w14:paraId="0FBF690D" w14:textId="42C2345A" w:rsidR="00371C65" w:rsidRDefault="00371C65" w:rsidP="004379EB">
            <w:pPr>
              <w:spacing w:before="240"/>
            </w:pPr>
            <w:r>
              <w:t>$200</w:t>
            </w:r>
          </w:p>
        </w:tc>
        <w:tc>
          <w:tcPr>
            <w:tcW w:w="1678" w:type="dxa"/>
          </w:tcPr>
          <w:p w14:paraId="3D2DD816" w14:textId="6F1C6BC8" w:rsidR="00371C65" w:rsidRDefault="00371C65" w:rsidP="004379EB">
            <w:pPr>
              <w:spacing w:before="240"/>
            </w:pPr>
            <w:r>
              <w:t>$100</w:t>
            </w:r>
          </w:p>
        </w:tc>
        <w:tc>
          <w:tcPr>
            <w:tcW w:w="1477" w:type="dxa"/>
          </w:tcPr>
          <w:p w14:paraId="74F3675B" w14:textId="1DC6295D" w:rsidR="00371C65" w:rsidRDefault="00371C65" w:rsidP="004379EB">
            <w:pPr>
              <w:spacing w:before="240"/>
            </w:pPr>
            <w:r>
              <w:t>$100</w:t>
            </w:r>
          </w:p>
        </w:tc>
      </w:tr>
      <w:tr w:rsidR="00D0380E" w14:paraId="07EF6063" w14:textId="77777777" w:rsidTr="00D0380E">
        <w:trPr>
          <w:trHeight w:val="665"/>
        </w:trPr>
        <w:tc>
          <w:tcPr>
            <w:tcW w:w="1664" w:type="dxa"/>
          </w:tcPr>
          <w:p w14:paraId="3EC402ED" w14:textId="4A30E018" w:rsidR="00D0380E" w:rsidRDefault="00D0380E" w:rsidP="004379EB">
            <w:pPr>
              <w:spacing w:before="240"/>
              <w:jc w:val="center"/>
            </w:pPr>
            <w:r>
              <w:t>Total</w:t>
            </w:r>
          </w:p>
        </w:tc>
        <w:tc>
          <w:tcPr>
            <w:tcW w:w="1803" w:type="dxa"/>
            <w:gridSpan w:val="2"/>
          </w:tcPr>
          <w:p w14:paraId="00B124D4" w14:textId="77777777" w:rsidR="00D0380E" w:rsidRDefault="00D0380E" w:rsidP="004379EB">
            <w:pPr>
              <w:spacing w:before="240"/>
              <w:jc w:val="center"/>
            </w:pPr>
          </w:p>
        </w:tc>
        <w:tc>
          <w:tcPr>
            <w:tcW w:w="3322" w:type="dxa"/>
            <w:gridSpan w:val="2"/>
          </w:tcPr>
          <w:p w14:paraId="42EBAD82" w14:textId="77A2ED1E" w:rsidR="00D0380E" w:rsidRDefault="00D0380E" w:rsidP="004379EB">
            <w:pPr>
              <w:spacing w:before="240"/>
            </w:pPr>
            <w:r>
              <w:t>$12500</w:t>
            </w:r>
          </w:p>
        </w:tc>
        <w:tc>
          <w:tcPr>
            <w:tcW w:w="3155" w:type="dxa"/>
            <w:gridSpan w:val="2"/>
          </w:tcPr>
          <w:p w14:paraId="5D545936" w14:textId="25B7C514" w:rsidR="00D0380E" w:rsidRDefault="00D0380E" w:rsidP="004379EB">
            <w:pPr>
              <w:spacing w:before="240"/>
            </w:pPr>
            <w:r>
              <w:t>$6500</w:t>
            </w:r>
          </w:p>
        </w:tc>
      </w:tr>
    </w:tbl>
    <w:p w14:paraId="7363B8CA" w14:textId="77777777" w:rsidR="00AD11A4" w:rsidRDefault="00AD11A4" w:rsidP="00AD11A4">
      <w:pPr>
        <w:ind w:firstLine="720"/>
      </w:pPr>
    </w:p>
    <w:p w14:paraId="61DEA79F" w14:textId="77777777" w:rsidR="00AD11A4" w:rsidRDefault="00AD11A4" w:rsidP="003F6859"/>
    <w:p w14:paraId="0E0D6A5C" w14:textId="3813E2D6" w:rsidR="00D0380E" w:rsidRPr="003F6859" w:rsidRDefault="00D0380E" w:rsidP="003F6859">
      <w:r>
        <w:t xml:space="preserve">The above </w:t>
      </w:r>
      <w:r w:rsidR="006A0A66">
        <w:t>table</w:t>
      </w:r>
      <w:r>
        <w:t xml:space="preserve"> </w:t>
      </w:r>
      <w:r w:rsidR="006A0A66">
        <w:t>illustrates</w:t>
      </w:r>
      <w:r>
        <w:t xml:space="preserve"> the ROI ( returns of investment) associated with the PCI DSS implementation compliance. Implementation of the P2PE encryption security has proven to be </w:t>
      </w:r>
      <w:r>
        <w:lastRenderedPageBreak/>
        <w:t>effective in results</w:t>
      </w:r>
      <w:r w:rsidR="00905608">
        <w:t>. According</w:t>
      </w:r>
      <w:r>
        <w:t xml:space="preserve"> to the table</w:t>
      </w:r>
      <w:r w:rsidR="006A0A66">
        <w:t>,</w:t>
      </w:r>
      <w:r>
        <w:t xml:space="preserve"> </w:t>
      </w:r>
      <w:r w:rsidR="006A0A66">
        <w:t xml:space="preserve">a </w:t>
      </w:r>
      <w:r>
        <w:t xml:space="preserve">48% overall </w:t>
      </w:r>
      <w:r w:rsidR="006A0A66">
        <w:t>decrease</w:t>
      </w:r>
      <w:r>
        <w:t xml:space="preserve"> in cost was </w:t>
      </w:r>
      <w:r w:rsidR="006A0A66">
        <w:t>achieved</w:t>
      </w:r>
      <w:r>
        <w:t xml:space="preserve"> </w:t>
      </w:r>
      <w:r w:rsidR="006A0A66">
        <w:t xml:space="preserve">in </w:t>
      </w:r>
      <w:r w:rsidR="00905608">
        <w:t>the organization's annual and initial costs</w:t>
      </w:r>
      <w:r w:rsidR="006A0A66">
        <w:t>. An important note is that this data was taken from various sources on the internet. The result may differ depending on the various geographical locations or in certain scenarios based on the organization.</w:t>
      </w:r>
      <w:r w:rsidR="00DA4FAD">
        <w:t>[1]</w:t>
      </w:r>
    </w:p>
    <w:p w14:paraId="17A3D27A" w14:textId="37C9D36B" w:rsidR="006A0A66" w:rsidRDefault="00694258" w:rsidP="00760612">
      <w:pPr>
        <w:pStyle w:val="Heading1"/>
      </w:pPr>
      <w:r w:rsidRPr="00694258">
        <w:t>Explanation of the official document</w:t>
      </w:r>
    </w:p>
    <w:p w14:paraId="324604D3" w14:textId="4CE73E52" w:rsidR="006A0A66" w:rsidRDefault="006A0A66" w:rsidP="006A0A66">
      <w:r>
        <w:t>PCI DSS v4</w:t>
      </w:r>
    </w:p>
    <w:p w14:paraId="1C027A63" w14:textId="4561B8AA" w:rsidR="00B057DC" w:rsidRDefault="00B86DE0" w:rsidP="006A0A66">
      <w:r>
        <w:t xml:space="preserve">The </w:t>
      </w:r>
      <w:r w:rsidR="009E09D5">
        <w:t>PCI</w:t>
      </w:r>
      <w:r>
        <w:t xml:space="preserve"> </w:t>
      </w:r>
      <w:r w:rsidR="009E09D5">
        <w:t>Security Council</w:t>
      </w:r>
      <w:r>
        <w:t xml:space="preserve"> </w:t>
      </w:r>
      <w:r w:rsidR="009E09D5">
        <w:t>officially</w:t>
      </w:r>
      <w:r>
        <w:t xml:space="preserve"> released version 4.0 of the PCI data security </w:t>
      </w:r>
      <w:r w:rsidR="009E09D5">
        <w:t>standard</w:t>
      </w:r>
      <w:r>
        <w:t xml:space="preserve"> on </w:t>
      </w:r>
      <w:r w:rsidR="009E09D5">
        <w:t>March</w:t>
      </w:r>
      <w:r>
        <w:t xml:space="preserve"> 31, 2022. The newer version of the </w:t>
      </w:r>
      <w:r w:rsidR="009E09D5">
        <w:t>PCI</w:t>
      </w:r>
      <w:r>
        <w:t xml:space="preserve"> </w:t>
      </w:r>
      <w:r w:rsidR="009E09D5">
        <w:t>DSS</w:t>
      </w:r>
      <w:r>
        <w:t xml:space="preserve"> </w:t>
      </w:r>
      <w:r w:rsidR="009E09D5">
        <w:t>is crucial</w:t>
      </w:r>
      <w:r>
        <w:t xml:space="preserve"> in </w:t>
      </w:r>
      <w:r w:rsidR="009E09D5">
        <w:t>providing</w:t>
      </w:r>
      <w:r>
        <w:t xml:space="preserve"> </w:t>
      </w:r>
      <w:r w:rsidR="009E09D5">
        <w:t>a foundational</w:t>
      </w:r>
      <w:r>
        <w:t xml:space="preserve"> </w:t>
      </w:r>
      <w:r w:rsidR="009E09D5">
        <w:t>guideline</w:t>
      </w:r>
      <w:r>
        <w:t xml:space="preserve"> to technological and operational criteria to </w:t>
      </w:r>
      <w:r w:rsidR="009E09D5">
        <w:t>safeguard</w:t>
      </w:r>
      <w:r>
        <w:t xml:space="preserve"> </w:t>
      </w:r>
      <w:r w:rsidR="009E09D5">
        <w:t xml:space="preserve">account-related </w:t>
      </w:r>
      <w:r>
        <w:t>data.</w:t>
      </w:r>
      <w:r w:rsidR="009E09D5">
        <w:t xml:space="preserve"> </w:t>
      </w:r>
      <w:r>
        <w:t xml:space="preserve">PCI DSS v 4.0 </w:t>
      </w:r>
      <w:r w:rsidR="009E09D5">
        <w:t>announces</w:t>
      </w:r>
      <w:r>
        <w:t xml:space="preserve"> different updates and versions </w:t>
      </w:r>
      <w:r w:rsidR="009E09D5">
        <w:t xml:space="preserve">to </w:t>
      </w:r>
      <w:r>
        <w:t xml:space="preserve">bring important </w:t>
      </w:r>
      <w:r w:rsidR="009E09D5">
        <w:t>updates</w:t>
      </w:r>
      <w:r>
        <w:t xml:space="preserve"> to the standard.</w:t>
      </w:r>
      <w:r w:rsidR="009E09D5">
        <w:t xml:space="preserve"> Following</w:t>
      </w:r>
      <w:r w:rsidR="00764225">
        <w:t xml:space="preserve"> the </w:t>
      </w:r>
      <w:r w:rsidR="009E09D5">
        <w:t>PCI</w:t>
      </w:r>
      <w:r w:rsidR="00764225">
        <w:t xml:space="preserve"> </w:t>
      </w:r>
      <w:r w:rsidR="009E09D5">
        <w:t>DSS</w:t>
      </w:r>
      <w:r w:rsidR="00764225">
        <w:t xml:space="preserve"> v4.0</w:t>
      </w:r>
      <w:r w:rsidR="009E09D5">
        <w:t>,</w:t>
      </w:r>
      <w:r w:rsidR="00764225">
        <w:t xml:space="preserve"> </w:t>
      </w:r>
      <w:r w:rsidR="009E09D5">
        <w:t>training</w:t>
      </w:r>
      <w:r w:rsidR="00764225">
        <w:t xml:space="preserve"> </w:t>
      </w:r>
      <w:r w:rsidR="009E09D5">
        <w:t>accessories</w:t>
      </w:r>
      <w:r w:rsidR="00764225">
        <w:t xml:space="preserve"> </w:t>
      </w:r>
      <w:r w:rsidR="009E09D5">
        <w:t>can</w:t>
      </w:r>
      <w:r w:rsidR="00764225">
        <w:t xml:space="preserve"> </w:t>
      </w:r>
      <w:r w:rsidR="009E09D5">
        <w:t>conduct</w:t>
      </w:r>
      <w:r w:rsidR="00764225">
        <w:t xml:space="preserve"> the required </w:t>
      </w:r>
      <w:r w:rsidR="009E09D5">
        <w:t>assessment using</w:t>
      </w:r>
      <w:r w:rsidR="00764225">
        <w:t xml:space="preserve"> the v4.0 or </w:t>
      </w:r>
      <w:r w:rsidR="009E09D5">
        <w:t>previous</w:t>
      </w:r>
      <w:r w:rsidR="00764225">
        <w:t xml:space="preserve"> version </w:t>
      </w:r>
      <w:r w:rsidR="009E09D5">
        <w:t>suitable</w:t>
      </w:r>
      <w:r w:rsidR="00764225">
        <w:t xml:space="preserve"> for the need. Moreover</w:t>
      </w:r>
      <w:r w:rsidR="009E09D5">
        <w:t>,</w:t>
      </w:r>
      <w:r w:rsidR="00764225">
        <w:t xml:space="preserve"> the </w:t>
      </w:r>
      <w:r w:rsidR="009E09D5">
        <w:t>late</w:t>
      </w:r>
      <w:r w:rsidR="00764225">
        <w:t xml:space="preserve"> version offers space for </w:t>
      </w:r>
      <w:r w:rsidR="009E09D5">
        <w:t>implementing</w:t>
      </w:r>
      <w:r w:rsidR="00764225">
        <w:t xml:space="preserve"> time </w:t>
      </w:r>
      <w:r w:rsidR="009E09D5">
        <w:t>frameworks</w:t>
      </w:r>
      <w:r w:rsidR="00764225">
        <w:t xml:space="preserve"> and standard requirements</w:t>
      </w:r>
      <w:r w:rsidR="009E09D5">
        <w:t>,</w:t>
      </w:r>
      <w:r w:rsidR="00764225">
        <w:t xml:space="preserve"> offering the organization </w:t>
      </w:r>
      <w:r w:rsidR="009E09D5">
        <w:t>flexibility</w:t>
      </w:r>
      <w:r w:rsidR="00764225">
        <w:t xml:space="preserve"> and </w:t>
      </w:r>
      <w:r w:rsidR="009E09D5">
        <w:t>adaptability</w:t>
      </w:r>
      <w:r w:rsidR="00764225">
        <w:t>.</w:t>
      </w:r>
    </w:p>
    <w:p w14:paraId="5AC527F3" w14:textId="3D2484EE" w:rsidR="009E09D5" w:rsidRDefault="00764225" w:rsidP="006A0A66">
      <w:r>
        <w:t xml:space="preserve">To adapt </w:t>
      </w:r>
      <w:r w:rsidR="009E09D5">
        <w:t>to</w:t>
      </w:r>
      <w:r>
        <w:t xml:space="preserve"> the </w:t>
      </w:r>
      <w:r w:rsidR="009E09D5">
        <w:t>dynamic</w:t>
      </w:r>
      <w:r>
        <w:t xml:space="preserve"> </w:t>
      </w:r>
      <w:r w:rsidR="009E09D5">
        <w:t>and evolving</w:t>
      </w:r>
      <w:r>
        <w:t xml:space="preserve"> security </w:t>
      </w:r>
      <w:r w:rsidR="009E09D5">
        <w:t>landscape</w:t>
      </w:r>
      <w:r>
        <w:t xml:space="preserve"> of the business environment </w:t>
      </w:r>
      <w:r w:rsidR="009E09D5">
        <w:t>within</w:t>
      </w:r>
      <w:r>
        <w:t xml:space="preserve"> the payment sector, it </w:t>
      </w:r>
      <w:r w:rsidR="009E09D5">
        <w:t xml:space="preserve">is </w:t>
      </w:r>
      <w:r>
        <w:t xml:space="preserve">a necessity that security implementations must be </w:t>
      </w:r>
      <w:r w:rsidR="009E09D5">
        <w:t>continuously</w:t>
      </w:r>
      <w:r>
        <w:t xml:space="preserve"> updated and </w:t>
      </w:r>
      <w:r w:rsidR="009E09D5">
        <w:t>adapted</w:t>
      </w:r>
      <w:r>
        <w:t xml:space="preserve"> accordingly. Notable </w:t>
      </w:r>
      <w:r w:rsidR="009E09D5">
        <w:t>improvements</w:t>
      </w:r>
      <w:r>
        <w:t xml:space="preserve"> have </w:t>
      </w:r>
      <w:r w:rsidR="009E09D5">
        <w:t>already been</w:t>
      </w:r>
      <w:r>
        <w:t xml:space="preserve"> introduced</w:t>
      </w:r>
      <w:r w:rsidR="009E09D5">
        <w:t>:</w:t>
      </w:r>
      <w:r>
        <w:t xml:space="preserve"> strict </w:t>
      </w:r>
      <w:r w:rsidR="009E09D5">
        <w:t>multifactor</w:t>
      </w:r>
      <w:r>
        <w:t xml:space="preserve"> </w:t>
      </w:r>
      <w:r w:rsidR="009E09D5">
        <w:t>authentication</w:t>
      </w:r>
      <w:r>
        <w:t xml:space="preserve"> MFA </w:t>
      </w:r>
      <w:r w:rsidR="009E09D5">
        <w:t>specifications</w:t>
      </w:r>
      <w:r>
        <w:t xml:space="preserve">, </w:t>
      </w:r>
      <w:r w:rsidR="009E09D5">
        <w:t>updated</w:t>
      </w:r>
      <w:r>
        <w:t xml:space="preserve"> password requirements, and </w:t>
      </w:r>
      <w:r w:rsidR="009E09D5">
        <w:t>new</w:t>
      </w:r>
      <w:r w:rsidR="00407634">
        <w:t xml:space="preserve"> guidelines addressing </w:t>
      </w:r>
      <w:r w:rsidR="009E09D5">
        <w:t>e-commerce</w:t>
      </w:r>
      <w:r w:rsidR="00407634">
        <w:t xml:space="preserve"> and malicious activities to combat the current </w:t>
      </w:r>
      <w:r w:rsidR="009E09D5">
        <w:t>environmental</w:t>
      </w:r>
      <w:r w:rsidR="00407634">
        <w:t xml:space="preserve"> issues. </w:t>
      </w:r>
      <w:r w:rsidR="009E09D5">
        <w:t>Further,</w:t>
      </w:r>
      <w:r w:rsidR="00407634">
        <w:t xml:space="preserve"> the newer version is </w:t>
      </w:r>
      <w:r w:rsidR="009E09D5">
        <w:t>equipped</w:t>
      </w:r>
      <w:r w:rsidR="00407634">
        <w:t xml:space="preserve"> with specific </w:t>
      </w:r>
      <w:r w:rsidR="009E09D5">
        <w:t>role-based</w:t>
      </w:r>
      <w:r w:rsidR="00407634">
        <w:t xml:space="preserve"> responsibilities for individual</w:t>
      </w:r>
      <w:r w:rsidR="009E09D5">
        <w:t xml:space="preserve"> requirements</w:t>
      </w:r>
      <w:r w:rsidR="00407634">
        <w:t xml:space="preserve">,  aiding in communicating clear </w:t>
      </w:r>
      <w:r w:rsidR="009E09D5">
        <w:t>instructions</w:t>
      </w:r>
      <w:r w:rsidR="00407634">
        <w:t xml:space="preserve"> for better understanding </w:t>
      </w:r>
      <w:r w:rsidR="009E09D5">
        <w:t>establishing</w:t>
      </w:r>
      <w:r w:rsidR="00407634">
        <w:t xml:space="preserve"> and </w:t>
      </w:r>
      <w:r w:rsidR="009E09D5">
        <w:t>maintaining</w:t>
      </w:r>
      <w:r w:rsidR="00407634">
        <w:t xml:space="preserve"> security</w:t>
      </w:r>
      <w:r w:rsidR="009E09D5">
        <w:t>. An</w:t>
      </w:r>
      <w:r w:rsidR="00407634">
        <w:t xml:space="preserve"> updated reporting </w:t>
      </w:r>
      <w:r w:rsidR="009E09D5">
        <w:t>mechanism</w:t>
      </w:r>
      <w:r w:rsidR="00407634">
        <w:t xml:space="preserve"> was </w:t>
      </w:r>
      <w:r w:rsidR="009E09D5">
        <w:t>introduced</w:t>
      </w:r>
      <w:r w:rsidR="00407634">
        <w:t xml:space="preserve">. The overall development in the areas </w:t>
      </w:r>
      <w:r w:rsidR="009E09D5">
        <w:t>provides</w:t>
      </w:r>
      <w:r w:rsidR="00407634">
        <w:t xml:space="preserve"> </w:t>
      </w:r>
      <w:r w:rsidR="009E09D5">
        <w:t>charity for security report reviewing and</w:t>
      </w:r>
      <w:r w:rsidR="00407634">
        <w:t xml:space="preserve"> </w:t>
      </w:r>
      <w:r w:rsidR="009E09D5">
        <w:t>proves</w:t>
      </w:r>
      <w:r w:rsidR="00407634">
        <w:t xml:space="preserve"> </w:t>
      </w:r>
      <w:r w:rsidR="009E09D5">
        <w:t>a</w:t>
      </w:r>
      <w:r w:rsidR="00407634">
        <w:t xml:space="preserve"> </w:t>
      </w:r>
      <w:r w:rsidR="009E09D5">
        <w:t>continuously</w:t>
      </w:r>
      <w:r w:rsidR="00407634">
        <w:t xml:space="preserve"> </w:t>
      </w:r>
      <w:r w:rsidR="009E09D5">
        <w:t>dating</w:t>
      </w:r>
      <w:r w:rsidR="00407634">
        <w:t xml:space="preserve"> and enhancing security practice.</w:t>
      </w:r>
    </w:p>
    <w:p w14:paraId="57A44C6C" w14:textId="79BB8C10" w:rsidR="00407634" w:rsidRDefault="009E09D5" w:rsidP="006A0A66">
      <w:r>
        <w:t>Introducing</w:t>
      </w:r>
      <w:r w:rsidRPr="009E09D5">
        <w:t xml:space="preserve"> new standards to encourage innovation in payment technology and expanding the variety of ways companies can meet their security objectives</w:t>
      </w:r>
      <w:r>
        <w:t>.</w:t>
      </w:r>
      <w:r w:rsidRPr="009E09D5">
        <w:t xml:space="preserve"> These standards include access to </w:t>
      </w:r>
      <w:r>
        <w:t xml:space="preserve">the </w:t>
      </w:r>
      <w:r w:rsidRPr="009E09D5">
        <w:t>public, shared, or user groups accounting introduced targeted risk assessment chapter Also, in verification methods Processes are also enhanced, with verification methods and response to it goes deeper there. This ensures a close match between the data collected during compliance validation and the information in the compliance report or self-assessment questionnaire</w:t>
      </w:r>
      <w:r>
        <w:t>.</w:t>
      </w:r>
      <w:r w:rsidRPr="009E09D5">
        <w:t xml:space="preserve"> This new data gives companies more flexibility and advanced wear tools </w:t>
      </w:r>
      <w:r>
        <w:t xml:space="preserve">to </w:t>
      </w:r>
      <w:r w:rsidRPr="009E09D5">
        <w:t>intensify their security efforts in the ever-changing payment technology landscape.</w:t>
      </w:r>
      <w:r w:rsidR="00DA4FAD">
        <w:t>[2]</w:t>
      </w:r>
    </w:p>
    <w:p w14:paraId="3DCB0110" w14:textId="77777777" w:rsidR="00407634" w:rsidRDefault="00407634" w:rsidP="006A0A66"/>
    <w:p w14:paraId="7716F81D" w14:textId="77777777" w:rsidR="00905608" w:rsidRDefault="00905608" w:rsidP="006A0A66"/>
    <w:p w14:paraId="75C6C6F2" w14:textId="77777777" w:rsidR="00760612" w:rsidRPr="006A0A66" w:rsidRDefault="00760612" w:rsidP="006A0A66"/>
    <w:p w14:paraId="2AB988AA" w14:textId="5987BC02" w:rsidR="00694258" w:rsidRPr="00694258" w:rsidRDefault="006A0A66" w:rsidP="00760612">
      <w:pPr>
        <w:pStyle w:val="Heading1"/>
      </w:pPr>
      <w:r>
        <w:t>Self-assessment</w:t>
      </w:r>
      <w:r w:rsidR="00694258" w:rsidRPr="00694258">
        <w:t xml:space="preserve"> </w:t>
      </w:r>
      <w:r>
        <w:t>questionnaires</w:t>
      </w:r>
    </w:p>
    <w:p w14:paraId="5D8BE567" w14:textId="77777777" w:rsidR="009E09D5" w:rsidRDefault="006A0A66" w:rsidP="009E09D5">
      <w:r>
        <w:t>Questionnaire</w:t>
      </w:r>
      <w:r w:rsidR="00694258">
        <w:t xml:space="preserve"> A</w:t>
      </w:r>
    </w:p>
    <w:p w14:paraId="083FA591" w14:textId="37D3A049" w:rsidR="009E09D5" w:rsidRPr="009E09D5" w:rsidRDefault="009E09D5" w:rsidP="009E09D5">
      <w:r w:rsidRPr="009E09D5">
        <w:lastRenderedPageBreak/>
        <w:t xml:space="preserve">This applies to </w:t>
      </w:r>
      <w:r w:rsidR="002F0C88">
        <w:t>retailers</w:t>
      </w:r>
      <w:r w:rsidRPr="009E09D5">
        <w:t xml:space="preserve"> who accept orders through telephone or online channels and use a </w:t>
      </w:r>
      <w:r w:rsidR="002F0C88">
        <w:t>third party</w:t>
      </w:r>
      <w:r w:rsidRPr="009E09D5">
        <w:t xml:space="preserve"> </w:t>
      </w:r>
      <w:r w:rsidR="00D83B21">
        <w:t xml:space="preserve">to </w:t>
      </w:r>
      <w:r w:rsidRPr="009E09D5">
        <w:t>manage the collection, storage</w:t>
      </w:r>
      <w:r w:rsidR="002F0C88">
        <w:t>,</w:t>
      </w:r>
      <w:r w:rsidRPr="009E09D5">
        <w:t xml:space="preserve"> and processing of cardholder data when the </w:t>
      </w:r>
      <w:r w:rsidR="002F0C88">
        <w:t>retailer's</w:t>
      </w:r>
      <w:r w:rsidRPr="009E09D5">
        <w:t xml:space="preserve"> systems </w:t>
      </w:r>
      <w:r w:rsidR="002F0C88">
        <w:t>do</w:t>
      </w:r>
      <w:r w:rsidR="00D83B21">
        <w:t xml:space="preserve"> not</w:t>
      </w:r>
      <w:r w:rsidR="002F0C88">
        <w:t xml:space="preserve"> </w:t>
      </w:r>
      <w:r w:rsidR="00D83B21">
        <w:t>handle</w:t>
      </w:r>
      <w:r w:rsidR="002F0C88">
        <w:t xml:space="preserve"> </w:t>
      </w:r>
      <w:r w:rsidRPr="009E09D5">
        <w:t xml:space="preserve">cardholder information processing or </w:t>
      </w:r>
      <w:proofErr w:type="gramStart"/>
      <w:r w:rsidR="002F0C88">
        <w:t>transmission</w:t>
      </w:r>
      <w:r w:rsidR="00D83B21">
        <w:t xml:space="preserve"> </w:t>
      </w:r>
      <w:r w:rsidRPr="009E09D5">
        <w:t>in particular</w:t>
      </w:r>
      <w:proofErr w:type="gramEnd"/>
      <w:r w:rsidRPr="009E09D5">
        <w:t xml:space="preserve">. This includes establishments that only accept card payments when a physical card is </w:t>
      </w:r>
      <w:r w:rsidR="0036130F">
        <w:t>used</w:t>
      </w:r>
      <w:r w:rsidR="002F0C88">
        <w:t>. A</w:t>
      </w:r>
      <w:r w:rsidRPr="009E09D5">
        <w:t xml:space="preserve"> third party responsible for these functions must </w:t>
      </w:r>
      <w:r w:rsidR="0036130F">
        <w:t>follow the</w:t>
      </w:r>
      <w:r w:rsidR="002F0C88">
        <w:t xml:space="preserve"> </w:t>
      </w:r>
      <w:r w:rsidR="00993AC2">
        <w:t>payment ca</w:t>
      </w:r>
      <w:r w:rsidRPr="009E09D5">
        <w:t>rd Industry Data Security Standard (PCI DSS) to ensure proper handling</w:t>
      </w:r>
      <w:r w:rsidR="002F0C88">
        <w:t xml:space="preserve"> of </w:t>
      </w:r>
      <w:r w:rsidRPr="009E09D5">
        <w:t>cardholder data.</w:t>
      </w:r>
      <w:r w:rsidR="00DA4FAD">
        <w:t>[4]</w:t>
      </w:r>
    </w:p>
    <w:p w14:paraId="6B36987A" w14:textId="6DFCBFAD" w:rsidR="00694258" w:rsidRDefault="006A0A66" w:rsidP="003177CB">
      <w:r>
        <w:t>Questionnaire</w:t>
      </w:r>
      <w:r w:rsidR="00694258">
        <w:t xml:space="preserve"> A-EP</w:t>
      </w:r>
    </w:p>
    <w:p w14:paraId="2C70FAF3" w14:textId="5B1FC8AC" w:rsidR="00993AC2" w:rsidRDefault="00B9676C" w:rsidP="003177CB">
      <w:r w:rsidRPr="00B9676C">
        <w:t xml:space="preserve">This choice is only accessible </w:t>
      </w:r>
      <w:r w:rsidR="002F0C88">
        <w:t>to</w:t>
      </w:r>
      <w:r w:rsidRPr="00B9676C">
        <w:t xml:space="preserve"> </w:t>
      </w:r>
      <w:r>
        <w:t>online sellers</w:t>
      </w:r>
      <w:r w:rsidRPr="00B9676C">
        <w:t>. In this situation</w:t>
      </w:r>
      <w:r w:rsidR="002F0C88">
        <w:t>,</w:t>
      </w:r>
      <w:r w:rsidRPr="00B9676C">
        <w:t xml:space="preserve"> the seller has </w:t>
      </w:r>
      <w:r w:rsidR="002F0C88">
        <w:t>arranged</w:t>
      </w:r>
      <w:r w:rsidRPr="00B9676C">
        <w:t xml:space="preserve"> with a</w:t>
      </w:r>
      <w:r>
        <w:t xml:space="preserve"> </w:t>
      </w:r>
      <w:r w:rsidR="002F0C88">
        <w:t xml:space="preserve">third-party </w:t>
      </w:r>
      <w:r w:rsidRPr="00B9676C">
        <w:t xml:space="preserve">service provider to handle the processing of card payments </w:t>
      </w:r>
      <w:r>
        <w:t>processing</w:t>
      </w:r>
      <w:r w:rsidR="002F0C88">
        <w:t>,</w:t>
      </w:r>
      <w:r w:rsidRPr="00B9676C">
        <w:t xml:space="preserve"> </w:t>
      </w:r>
      <w:proofErr w:type="gramStart"/>
      <w:r>
        <w:t>similar to</w:t>
      </w:r>
      <w:proofErr w:type="gramEnd"/>
      <w:r w:rsidR="002F0C88">
        <w:t xml:space="preserve"> self-assessment</w:t>
      </w:r>
      <w:r w:rsidRPr="00B9676C">
        <w:t xml:space="preserve"> questionnaire A. </w:t>
      </w:r>
      <w:r w:rsidR="002F0C88">
        <w:t>The</w:t>
      </w:r>
      <w:r w:rsidRPr="00B9676C">
        <w:t xml:space="preserve"> security of the payment process </w:t>
      </w:r>
      <w:r w:rsidR="002F0C88">
        <w:t>impacts the seller's</w:t>
      </w:r>
      <w:r w:rsidRPr="00B9676C">
        <w:t xml:space="preserve"> website</w:t>
      </w:r>
      <w:r>
        <w:t>.</w:t>
      </w:r>
      <w:r w:rsidRPr="00B9676C">
        <w:t xml:space="preserve"> </w:t>
      </w:r>
      <w:r w:rsidR="002F0C88">
        <w:t>The</w:t>
      </w:r>
      <w:r w:rsidRPr="00B9676C">
        <w:t xml:space="preserve"> </w:t>
      </w:r>
      <w:r w:rsidR="002F0C88">
        <w:t>third-party</w:t>
      </w:r>
      <w:r w:rsidRPr="00B9676C">
        <w:t xml:space="preserve"> provider </w:t>
      </w:r>
      <w:r>
        <w:t>must</w:t>
      </w:r>
      <w:r w:rsidR="002F0C88">
        <w:t xml:space="preserve"> </w:t>
      </w:r>
      <w:r w:rsidRPr="00B9676C">
        <w:t>adhere to the PCI DSS</w:t>
      </w:r>
      <w:r>
        <w:t>.</w:t>
      </w:r>
      <w:r w:rsidR="00DA4FAD">
        <w:t>[5]</w:t>
      </w:r>
    </w:p>
    <w:p w14:paraId="6072B4D1" w14:textId="307D71FC" w:rsidR="00694258" w:rsidRDefault="006A0A66" w:rsidP="003177CB">
      <w:r>
        <w:t>Questionnaire</w:t>
      </w:r>
      <w:r w:rsidR="00694258">
        <w:t xml:space="preserve"> B</w:t>
      </w:r>
    </w:p>
    <w:p w14:paraId="19F59BAB" w14:textId="6DB712BF" w:rsidR="00B9676C" w:rsidRPr="00B9676C" w:rsidRDefault="002F0C88" w:rsidP="00B9676C">
      <w:r>
        <w:t>Vendors</w:t>
      </w:r>
      <w:r w:rsidR="00B9676C" w:rsidRPr="00B9676C">
        <w:t xml:space="preserve"> </w:t>
      </w:r>
      <w:r>
        <w:t>use</w:t>
      </w:r>
      <w:r w:rsidR="00B9676C" w:rsidRPr="00B9676C">
        <w:t xml:space="preserve"> printers or dial-out interfaces instead of storage media payment card data. </w:t>
      </w:r>
      <w:r>
        <w:t>This is because the card data device will not have an internet connection</w:t>
      </w:r>
      <w:r w:rsidR="00B9676C" w:rsidRPr="00B9676C">
        <w:t xml:space="preserve">. It does not apply to online services. In this case, the merchant usually keeps only receipts. </w:t>
      </w:r>
      <w:r>
        <w:t>It can</w:t>
      </w:r>
      <w:r w:rsidR="00B9676C" w:rsidRPr="00B9676C">
        <w:t xml:space="preserve"> include cardholder information.</w:t>
      </w:r>
      <w:r w:rsidR="00DA4FAD">
        <w:t>[3]</w:t>
      </w:r>
    </w:p>
    <w:p w14:paraId="13FF6F9D" w14:textId="0E294C53" w:rsidR="00694258" w:rsidRDefault="006A0A66" w:rsidP="00B9676C">
      <w:r w:rsidRPr="00B9676C">
        <w:t>Questionnaire</w:t>
      </w:r>
      <w:r w:rsidR="00694258" w:rsidRPr="00B9676C">
        <w:t xml:space="preserve"> C -VT</w:t>
      </w:r>
    </w:p>
    <w:p w14:paraId="736A359F" w14:textId="5E73BF2D" w:rsidR="00B9676C" w:rsidRPr="00B9676C" w:rsidRDefault="00A8787B" w:rsidP="00B9676C">
      <w:r w:rsidRPr="00A8787B">
        <w:t xml:space="preserve">This option is intended for business owners </w:t>
      </w:r>
      <w:r w:rsidR="002F0C88">
        <w:t xml:space="preserve">using virtual terminals in a web browser without storing </w:t>
      </w:r>
      <w:r w:rsidRPr="00A8787B">
        <w:t xml:space="preserve">cardholder information. In this case, a PCI </w:t>
      </w:r>
      <w:r w:rsidR="002F0C88">
        <w:t>DSS-compliant</w:t>
      </w:r>
      <w:r w:rsidRPr="00A8787B">
        <w:t xml:space="preserve"> service provider may be responsible for performing a remote installation or virtual payment application. Because the virtual terminal </w:t>
      </w:r>
      <w:r w:rsidR="002F0C88">
        <w:t xml:space="preserve">doesn’t directly connect to card data, businesses </w:t>
      </w:r>
      <w:r w:rsidR="00244A98">
        <w:t>manually enter cardholder information into the system during payments</w:t>
      </w:r>
      <w:r w:rsidR="002F0C88">
        <w:t>.</w:t>
      </w:r>
      <w:r w:rsidR="00DA4FAD">
        <w:t>[6]</w:t>
      </w:r>
    </w:p>
    <w:p w14:paraId="4865E345" w14:textId="3351D479" w:rsidR="00694258" w:rsidRDefault="006A0A66" w:rsidP="003177CB">
      <w:r>
        <w:t>Questionnaire</w:t>
      </w:r>
      <w:r w:rsidR="00694258">
        <w:t xml:space="preserve"> C</w:t>
      </w:r>
    </w:p>
    <w:p w14:paraId="0AF3B3C3" w14:textId="77E28F64" w:rsidR="00A8787B" w:rsidRPr="00A8787B" w:rsidRDefault="00A8787B" w:rsidP="00A8787B">
      <w:r w:rsidRPr="00A8787B">
        <w:t>This policy applies to business owners and retailers who use online payment systems but do not store digital cardholder data.</w:t>
      </w:r>
      <w:r>
        <w:t xml:space="preserve"> </w:t>
      </w:r>
      <w:r w:rsidR="002F0C88">
        <w:t>An internet-based processing system on occurred transactions processes cardholders' data</w:t>
      </w:r>
      <w:r w:rsidRPr="00A8787B">
        <w:t>.</w:t>
      </w:r>
      <w:r>
        <w:t xml:space="preserve"> The related data of the cardholder is not stored digitally</w:t>
      </w:r>
      <w:r w:rsidR="002F0C88">
        <w:t>, increasing</w:t>
      </w:r>
      <w:r>
        <w:t xml:space="preserve"> security and reducing data breaches.</w:t>
      </w:r>
      <w:r w:rsidR="00DA4FAD">
        <w:t>[7]</w:t>
      </w:r>
    </w:p>
    <w:p w14:paraId="13E01A77" w14:textId="0FD20CBE" w:rsidR="00694258" w:rsidRDefault="006A0A66" w:rsidP="003177CB">
      <w:r>
        <w:t>Questionnaire</w:t>
      </w:r>
      <w:r w:rsidR="00694258">
        <w:t xml:space="preserve"> P2PE</w:t>
      </w:r>
    </w:p>
    <w:p w14:paraId="19C25BA5" w14:textId="2F9F37F2" w:rsidR="00A8787B" w:rsidRDefault="00A8787B" w:rsidP="003177CB">
      <w:r w:rsidRPr="00A8787B">
        <w:t xml:space="preserve">This option does not apply to online merchants, as it is intended for companies using point-to-point encrypted payment terminals. </w:t>
      </w:r>
      <w:r w:rsidR="002F0C88">
        <w:t>The Payment Card Industry Data Security Council must approve the payment processing system</w:t>
      </w:r>
      <w:r w:rsidRPr="00A8787B">
        <w:t xml:space="preserve">. This method is considered more straightforward than the other methods by allowed </w:t>
      </w:r>
      <w:r w:rsidR="002F0C88">
        <w:t>conditions</w:t>
      </w:r>
      <w:r w:rsidRPr="00A8787B">
        <w:t>. In this case, merchants collect money from customers in person, usually through physical point-of-sale transactions</w:t>
      </w:r>
      <w:r w:rsidRPr="00DA4FAD">
        <w:rPr>
          <w:rFonts w:cs="Times New Roman"/>
          <w:color w:val="374151"/>
          <w:shd w:val="clear" w:color="auto" w:fill="F7F7F8"/>
        </w:rPr>
        <w:t>.</w:t>
      </w:r>
      <w:r w:rsidR="00DA4FAD">
        <w:rPr>
          <w:rFonts w:cs="Times New Roman"/>
          <w:color w:val="374151"/>
          <w:shd w:val="clear" w:color="auto" w:fill="F7F7F8"/>
        </w:rPr>
        <w:t>[8]</w:t>
      </w:r>
    </w:p>
    <w:p w14:paraId="50867AFF" w14:textId="0C04DE67" w:rsidR="00694258" w:rsidRDefault="006A0A66" w:rsidP="003177CB">
      <w:r>
        <w:t>Questionnaire</w:t>
      </w:r>
      <w:r w:rsidR="00694258">
        <w:t xml:space="preserve"> D</w:t>
      </w:r>
    </w:p>
    <w:p w14:paraId="4A6D7C32" w14:textId="3F511142" w:rsidR="00A8787B" w:rsidRPr="002F0C88" w:rsidRDefault="002F0C88" w:rsidP="002F0C88">
      <w:r w:rsidRPr="002F0C88">
        <w:t xml:space="preserve">This option is available to vendors and business owners who do not have the requirements for </w:t>
      </w:r>
      <w:r>
        <w:t>another self-assessment form</w:t>
      </w:r>
      <w:r w:rsidRPr="002F0C88">
        <w:t xml:space="preserve">. It is also used by service </w:t>
      </w:r>
      <w:r>
        <w:t>provider</w:t>
      </w:r>
      <w:r w:rsidRPr="002F0C88">
        <w:t xml:space="preserve"> companies that provide payment card services to other businesses.</w:t>
      </w:r>
      <w:r w:rsidR="00DA4FAD">
        <w:t>[3]</w:t>
      </w:r>
    </w:p>
    <w:p w14:paraId="74B9D853" w14:textId="45DEA4EA" w:rsidR="00371C65" w:rsidRDefault="00694258" w:rsidP="000741EE">
      <w:pPr>
        <w:pStyle w:val="Heading1"/>
      </w:pPr>
      <w:r w:rsidRPr="00694258">
        <w:lastRenderedPageBreak/>
        <w:t>P</w:t>
      </w:r>
      <w:r w:rsidR="002F0C88">
        <w:t>CI</w:t>
      </w:r>
      <w:r w:rsidRPr="00694258">
        <w:t xml:space="preserve"> </w:t>
      </w:r>
      <w:r w:rsidR="002F0C88">
        <w:t>DSS</w:t>
      </w:r>
      <w:r w:rsidR="003B03D8">
        <w:t xml:space="preserve"> </w:t>
      </w:r>
      <w:r w:rsidR="00244A98">
        <w:t>complaint</w:t>
      </w:r>
      <w:r w:rsidRPr="00694258">
        <w:t xml:space="preserve"> Checklist</w:t>
      </w:r>
    </w:p>
    <w:p w14:paraId="69A2C1F0" w14:textId="77777777" w:rsidR="000741EE" w:rsidRDefault="000741EE" w:rsidP="000741EE"/>
    <w:p w14:paraId="56ED67FC" w14:textId="13CD9D2F" w:rsidR="000741EE" w:rsidRPr="00244A98" w:rsidRDefault="000741EE" w:rsidP="00244A98">
      <w:r w:rsidRPr="00244A98">
        <w:t xml:space="preserve">The </w:t>
      </w:r>
      <w:r w:rsidR="00244A98">
        <w:t>payment</w:t>
      </w:r>
      <w:r w:rsidRPr="00244A98">
        <w:t xml:space="preserve"> card </w:t>
      </w:r>
      <w:r w:rsidR="00244A98">
        <w:t>industry</w:t>
      </w:r>
      <w:r w:rsidRPr="00244A98">
        <w:t xml:space="preserve"> data security </w:t>
      </w:r>
      <w:r w:rsidR="00244A98">
        <w:t>standards</w:t>
      </w:r>
      <w:r w:rsidRPr="00244A98">
        <w:t xml:space="preserve"> (PCI DSS) include 12 </w:t>
      </w:r>
      <w:r w:rsidR="00244A98">
        <w:t>criteria</w:t>
      </w:r>
      <w:r w:rsidRPr="00244A98">
        <w:t xml:space="preserve"> an </w:t>
      </w:r>
      <w:r w:rsidR="00244A98">
        <w:t>organization</w:t>
      </w:r>
      <w:r w:rsidRPr="00244A98">
        <w:t xml:space="preserve"> must overlook</w:t>
      </w:r>
      <w:r w:rsidR="00244A98">
        <w:t xml:space="preserve"> </w:t>
      </w:r>
      <w:r w:rsidRPr="00244A98">
        <w:t xml:space="preserve">to </w:t>
      </w:r>
      <w:r w:rsidR="00244A98">
        <w:t>achieve compliance</w:t>
      </w:r>
      <w:r w:rsidRPr="00244A98">
        <w:t xml:space="preserve"> with the </w:t>
      </w:r>
      <w:r w:rsidR="00244A98">
        <w:t>standards</w:t>
      </w:r>
      <w:r w:rsidRPr="00244A98">
        <w:t xml:space="preserve">. </w:t>
      </w:r>
      <w:r w:rsidR="00DA4FAD">
        <w:t xml:space="preserve">[9] </w:t>
      </w:r>
      <w:r w:rsidRPr="00244A98">
        <w:t xml:space="preserve">These </w:t>
      </w:r>
      <w:r w:rsidR="00244A98">
        <w:t>cities</w:t>
      </w:r>
      <w:r w:rsidRPr="00244A98">
        <w:t xml:space="preserve"> are organized into </w:t>
      </w:r>
      <w:r w:rsidR="00244A98">
        <w:t>six</w:t>
      </w:r>
      <w:r w:rsidRPr="00244A98">
        <w:t xml:space="preserve"> </w:t>
      </w:r>
      <w:r w:rsidR="00244A98">
        <w:t xml:space="preserve">distinct </w:t>
      </w:r>
      <w:r w:rsidRPr="00244A98">
        <w:t xml:space="preserve">“control </w:t>
      </w:r>
      <w:r w:rsidR="00244A98">
        <w:t>goals</w:t>
      </w:r>
      <w:r w:rsidRPr="00244A98">
        <w:t xml:space="preserve">” objectives that </w:t>
      </w:r>
      <w:r w:rsidR="00244A98">
        <w:t>serve</w:t>
      </w:r>
      <w:r w:rsidRPr="00244A98">
        <w:t xml:space="preserve"> as</w:t>
      </w:r>
      <w:r w:rsidR="00244A98">
        <w:t xml:space="preserve"> the </w:t>
      </w:r>
      <w:r w:rsidRPr="00244A98">
        <w:t xml:space="preserve">main </w:t>
      </w:r>
      <w:r w:rsidR="00244A98">
        <w:t>pillars</w:t>
      </w:r>
      <w:r w:rsidRPr="00244A98">
        <w:t xml:space="preserve"> for improving the protection of </w:t>
      </w:r>
      <w:r w:rsidR="00244A98">
        <w:t>cardholders'</w:t>
      </w:r>
      <w:r w:rsidRPr="00244A98">
        <w:t xml:space="preserve"> data. These goals </w:t>
      </w:r>
      <w:r w:rsidR="00244A98">
        <w:t>hold</w:t>
      </w:r>
      <w:r w:rsidRPr="00244A98">
        <w:t xml:space="preserve"> various information aspects of the </w:t>
      </w:r>
      <w:r w:rsidR="00244A98">
        <w:t>cardholders'</w:t>
      </w:r>
      <w:r w:rsidRPr="00244A98">
        <w:t xml:space="preserve"> related data</w:t>
      </w:r>
      <w:r w:rsidR="00244A98">
        <w:t>, which</w:t>
      </w:r>
      <w:r w:rsidRPr="00244A98">
        <w:t xml:space="preserve"> </w:t>
      </w:r>
      <w:r w:rsidR="00244A98">
        <w:t>involves</w:t>
      </w:r>
      <w:r w:rsidRPr="00244A98">
        <w:t xml:space="preserve"> strengthening</w:t>
      </w:r>
      <w:r w:rsidR="00244A98">
        <w:t xml:space="preserve"> </w:t>
      </w:r>
      <w:r w:rsidRPr="00244A98">
        <w:t xml:space="preserve">network security, enabling IT security policies, </w:t>
      </w:r>
      <w:r w:rsidR="00244A98">
        <w:t xml:space="preserve">and </w:t>
      </w:r>
      <w:r w:rsidRPr="00244A98">
        <w:t xml:space="preserve">addressing </w:t>
      </w:r>
      <w:r w:rsidR="00244A98">
        <w:t>vulnerabilities</w:t>
      </w:r>
      <w:r w:rsidR="00244A98" w:rsidRPr="00244A98">
        <w:t xml:space="preserve">. The overall </w:t>
      </w:r>
      <w:r w:rsidR="00244A98">
        <w:t>progress</w:t>
      </w:r>
      <w:r w:rsidR="00244A98" w:rsidRPr="00244A98">
        <w:t xml:space="preserve"> not only </w:t>
      </w:r>
      <w:r w:rsidR="00244A98">
        <w:t>strengthens the security of the cardholder data but also enhances and contributes to development in cybersecurity and</w:t>
      </w:r>
      <w:r w:rsidR="00244A98" w:rsidRPr="00244A98">
        <w:t xml:space="preserve"> IT risk management.</w:t>
      </w:r>
    </w:p>
    <w:p w14:paraId="22A30C45" w14:textId="45CA1CEE" w:rsidR="00244A98" w:rsidRDefault="00244A98" w:rsidP="00244A98">
      <w:r w:rsidRPr="00244A98">
        <w:t xml:space="preserve">Based on the </w:t>
      </w:r>
      <w:r>
        <w:t>company's needs,</w:t>
      </w:r>
      <w:r w:rsidRPr="00244A98">
        <w:t xml:space="preserve"> recommendations are carried out for specific </w:t>
      </w:r>
      <w:r>
        <w:t>environments</w:t>
      </w:r>
      <w:r w:rsidRPr="00244A98">
        <w:t xml:space="preserve"> and </w:t>
      </w:r>
      <w:r>
        <w:t>levels</w:t>
      </w:r>
      <w:r w:rsidRPr="00244A98">
        <w:t xml:space="preserve"> of compliance. </w:t>
      </w:r>
      <w:r>
        <w:t>Furthermore,</w:t>
      </w:r>
      <w:r w:rsidRPr="00244A98">
        <w:t xml:space="preserve"> a general understanding of the control goals and </w:t>
      </w:r>
      <w:r>
        <w:t>requirements</w:t>
      </w:r>
      <w:r w:rsidRPr="00244A98">
        <w:t xml:space="preserve"> </w:t>
      </w:r>
      <w:r>
        <w:t>is</w:t>
      </w:r>
      <w:r w:rsidRPr="00244A98">
        <w:t xml:space="preserve"> needed </w:t>
      </w:r>
      <w:r>
        <w:t>to grasp</w:t>
      </w:r>
      <w:r w:rsidRPr="00244A98">
        <w:t xml:space="preserve"> the core principles of </w:t>
      </w:r>
      <w:r>
        <w:t>implementing</w:t>
      </w:r>
      <w:r w:rsidRPr="00244A98">
        <w:t xml:space="preserve"> PCI DSS, </w:t>
      </w:r>
      <w:r>
        <w:t>providing</w:t>
      </w:r>
      <w:r w:rsidRPr="00244A98">
        <w:t xml:space="preserve"> and safeguarding</w:t>
      </w:r>
      <w:r>
        <w:t xml:space="preserve"> </w:t>
      </w:r>
      <w:r w:rsidRPr="00244A98">
        <w:t>cardholder data and security</w:t>
      </w:r>
      <w:r>
        <w:t xml:space="preserve"> </w:t>
      </w:r>
      <w:r w:rsidRPr="00244A98">
        <w:t xml:space="preserve">within </w:t>
      </w:r>
      <w:r>
        <w:t xml:space="preserve">the </w:t>
      </w:r>
      <w:r w:rsidRPr="00244A98">
        <w:t>payment industry.</w:t>
      </w:r>
    </w:p>
    <w:p w14:paraId="36ACF662" w14:textId="77777777" w:rsidR="00244A98" w:rsidRDefault="00244A98" w:rsidP="00244A98"/>
    <w:p w14:paraId="7C7D82C8" w14:textId="77777777" w:rsidR="00365C96" w:rsidRDefault="00365C96" w:rsidP="00365C96">
      <w:pPr>
        <w:keepNext/>
      </w:pPr>
      <w:r w:rsidRPr="00365C96">
        <w:rPr>
          <w:noProof/>
        </w:rPr>
        <w:drawing>
          <wp:inline distT="0" distB="0" distL="0" distR="0" wp14:anchorId="0A1DB31B" wp14:editId="42E90513">
            <wp:extent cx="5943600" cy="3967480"/>
            <wp:effectExtent l="0" t="0" r="0" b="0"/>
            <wp:docPr id="576647244" name="Picture 1"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647244" name="Picture 1" descr="A table with text on it&#10;&#10;Description automatically generated"/>
                    <pic:cNvPicPr/>
                  </pic:nvPicPr>
                  <pic:blipFill>
                    <a:blip r:embed="rId6"/>
                    <a:stretch>
                      <a:fillRect/>
                    </a:stretch>
                  </pic:blipFill>
                  <pic:spPr>
                    <a:xfrm>
                      <a:off x="0" y="0"/>
                      <a:ext cx="5943600" cy="3967480"/>
                    </a:xfrm>
                    <a:prstGeom prst="rect">
                      <a:avLst/>
                    </a:prstGeom>
                  </pic:spPr>
                </pic:pic>
              </a:graphicData>
            </a:graphic>
          </wp:inline>
        </w:drawing>
      </w:r>
    </w:p>
    <w:p w14:paraId="34BA21E5" w14:textId="15239512" w:rsidR="00244A98" w:rsidRDefault="00365C96" w:rsidP="00365C96">
      <w:pPr>
        <w:pStyle w:val="Caption"/>
      </w:pPr>
      <w:r>
        <w:t xml:space="preserve">Figure </w:t>
      </w:r>
      <w:fldSimple w:instr=" SEQ Figure \* ARABIC ">
        <w:r>
          <w:rPr>
            <w:noProof/>
          </w:rPr>
          <w:t>1</w:t>
        </w:r>
      </w:fldSimple>
      <w:r>
        <w:t>pci security standard quick overview</w:t>
      </w:r>
    </w:p>
    <w:p w14:paraId="5D073111" w14:textId="77777777" w:rsidR="00DA4FAD" w:rsidRDefault="00DA4FAD" w:rsidP="00DA4FAD"/>
    <w:p w14:paraId="23877C03" w14:textId="6671952E" w:rsidR="00DA4FAD" w:rsidRDefault="00DA4FAD" w:rsidP="00DA4FAD">
      <w:r>
        <w:t>References</w:t>
      </w:r>
    </w:p>
    <w:p w14:paraId="6DA9B515" w14:textId="7C8C213F" w:rsidR="00DA4FAD" w:rsidRPr="00DA4FAD" w:rsidRDefault="00DA4FAD" w:rsidP="00DA4FAD">
      <w:pPr>
        <w:spacing w:after="240" w:line="360" w:lineRule="auto"/>
        <w:rPr>
          <w:rFonts w:eastAsia="Times New Roman" w:cs="Times New Roman"/>
          <w:kern w:val="0"/>
          <w:sz w:val="36"/>
          <w:szCs w:val="36"/>
          <w14:ligatures w14:val="none"/>
        </w:rPr>
      </w:pPr>
      <w:r>
        <w:rPr>
          <w:rFonts w:eastAsia="Times New Roman" w:cs="Times New Roman"/>
          <w:kern w:val="0"/>
          <w:sz w:val="36"/>
          <w:szCs w:val="36"/>
          <w14:ligatures w14:val="none"/>
        </w:rPr>
        <w:lastRenderedPageBreak/>
        <w:t>References</w:t>
      </w:r>
    </w:p>
    <w:p w14:paraId="1368F02F" w14:textId="77777777" w:rsidR="00DA4FAD" w:rsidRPr="00DA4FAD" w:rsidRDefault="00DA4FAD" w:rsidP="00DA4FAD">
      <w:pPr>
        <w:spacing w:after="0" w:line="240" w:lineRule="auto"/>
        <w:rPr>
          <w:rFonts w:eastAsia="Times New Roman" w:cs="Times New Roman"/>
          <w:kern w:val="0"/>
          <w:szCs w:val="24"/>
          <w14:ligatures w14:val="none"/>
        </w:rPr>
      </w:pPr>
      <w:r w:rsidRPr="00DA4FAD">
        <w:rPr>
          <w:rFonts w:eastAsia="Times New Roman" w:cs="Times New Roman"/>
          <w:kern w:val="0"/>
          <w:szCs w:val="24"/>
          <w14:ligatures w14:val="none"/>
        </w:rPr>
        <w:t>[1]</w:t>
      </w:r>
    </w:p>
    <w:p w14:paraId="3BD2F6A5" w14:textId="77777777" w:rsidR="00DA4FAD" w:rsidRPr="00DA4FAD" w:rsidRDefault="00DA4FAD" w:rsidP="00DA4FAD">
      <w:pPr>
        <w:spacing w:after="0" w:line="240" w:lineRule="auto"/>
        <w:rPr>
          <w:rFonts w:eastAsia="Times New Roman" w:cs="Times New Roman"/>
          <w:kern w:val="0"/>
          <w:szCs w:val="24"/>
          <w14:ligatures w14:val="none"/>
        </w:rPr>
      </w:pPr>
      <w:r w:rsidRPr="00DA4FAD">
        <w:rPr>
          <w:rFonts w:eastAsia="Times New Roman" w:cs="Times New Roman"/>
          <w:kern w:val="0"/>
          <w:szCs w:val="24"/>
          <w14:ligatures w14:val="none"/>
        </w:rPr>
        <w:t xml:space="preserve">Bluefin, “The ROI and TCO of a PCI-Validated P2PE Solution,” </w:t>
      </w:r>
      <w:r w:rsidRPr="00DA4FAD">
        <w:rPr>
          <w:rFonts w:eastAsia="Times New Roman" w:cs="Times New Roman"/>
          <w:i/>
          <w:iCs/>
          <w:kern w:val="0"/>
          <w:szCs w:val="24"/>
          <w14:ligatures w14:val="none"/>
        </w:rPr>
        <w:t>Bluefin</w:t>
      </w:r>
      <w:r w:rsidRPr="00DA4FAD">
        <w:rPr>
          <w:rFonts w:eastAsia="Times New Roman" w:cs="Times New Roman"/>
          <w:kern w:val="0"/>
          <w:szCs w:val="24"/>
          <w14:ligatures w14:val="none"/>
        </w:rPr>
        <w:t>, Feb. 23, 2017. https://www.bluefin.com/bluefin-news/roi-tco-pci-validated-p2pe-solution/ (accessed Oct. 27, 2023).</w:t>
      </w:r>
    </w:p>
    <w:p w14:paraId="274CDAEE" w14:textId="77777777" w:rsidR="00DA4FAD" w:rsidRPr="00DA4FAD" w:rsidRDefault="00DA4FAD" w:rsidP="00DA4FAD">
      <w:pPr>
        <w:spacing w:after="0" w:line="240" w:lineRule="auto"/>
        <w:rPr>
          <w:rFonts w:eastAsia="Times New Roman" w:cs="Times New Roman"/>
          <w:kern w:val="0"/>
          <w:szCs w:val="24"/>
          <w14:ligatures w14:val="none"/>
        </w:rPr>
      </w:pPr>
      <w:r w:rsidRPr="00DA4FAD">
        <w:rPr>
          <w:rFonts w:eastAsia="Times New Roman" w:cs="Times New Roman"/>
          <w:kern w:val="0"/>
          <w:szCs w:val="24"/>
          <w14:ligatures w14:val="none"/>
        </w:rPr>
        <w:t>[2]</w:t>
      </w:r>
    </w:p>
    <w:p w14:paraId="4A779EC6" w14:textId="77777777" w:rsidR="00DA4FAD" w:rsidRPr="00DA4FAD" w:rsidRDefault="00DA4FAD" w:rsidP="00DA4FAD">
      <w:pPr>
        <w:spacing w:after="0" w:line="240" w:lineRule="auto"/>
        <w:rPr>
          <w:rFonts w:eastAsia="Times New Roman" w:cs="Times New Roman"/>
          <w:kern w:val="0"/>
          <w:szCs w:val="24"/>
          <w14:ligatures w14:val="none"/>
        </w:rPr>
      </w:pPr>
      <w:proofErr w:type="spellStart"/>
      <w:r w:rsidRPr="00DA4FAD">
        <w:rPr>
          <w:rFonts w:eastAsia="Times New Roman" w:cs="Times New Roman"/>
          <w:kern w:val="0"/>
          <w:szCs w:val="24"/>
          <w14:ligatures w14:val="none"/>
        </w:rPr>
        <w:t>secuirty</w:t>
      </w:r>
      <w:proofErr w:type="spellEnd"/>
      <w:r w:rsidRPr="00DA4FAD">
        <w:rPr>
          <w:rFonts w:eastAsia="Times New Roman" w:cs="Times New Roman"/>
          <w:kern w:val="0"/>
          <w:szCs w:val="24"/>
          <w14:ligatures w14:val="none"/>
        </w:rPr>
        <w:t xml:space="preserve"> </w:t>
      </w:r>
      <w:proofErr w:type="spellStart"/>
      <w:r w:rsidRPr="00DA4FAD">
        <w:rPr>
          <w:rFonts w:eastAsia="Times New Roman" w:cs="Times New Roman"/>
          <w:kern w:val="0"/>
          <w:szCs w:val="24"/>
          <w14:ligatures w14:val="none"/>
        </w:rPr>
        <w:t>standerd</w:t>
      </w:r>
      <w:proofErr w:type="spellEnd"/>
      <w:r w:rsidRPr="00DA4FAD">
        <w:rPr>
          <w:rFonts w:eastAsia="Times New Roman" w:cs="Times New Roman"/>
          <w:kern w:val="0"/>
          <w:szCs w:val="24"/>
          <w14:ligatures w14:val="none"/>
        </w:rPr>
        <w:t xml:space="preserve"> council, “Payment Card Industry Data Security Standard Requirements and Testing Procedures Version 4.0,” 2022.</w:t>
      </w:r>
    </w:p>
    <w:p w14:paraId="6A12E240" w14:textId="77777777" w:rsidR="00DA4FAD" w:rsidRPr="00DA4FAD" w:rsidRDefault="00DA4FAD" w:rsidP="00DA4FAD">
      <w:pPr>
        <w:spacing w:after="0" w:line="240" w:lineRule="auto"/>
        <w:rPr>
          <w:rFonts w:eastAsia="Times New Roman" w:cs="Times New Roman"/>
          <w:kern w:val="0"/>
          <w:szCs w:val="24"/>
          <w14:ligatures w14:val="none"/>
        </w:rPr>
      </w:pPr>
      <w:r w:rsidRPr="00DA4FAD">
        <w:rPr>
          <w:rFonts w:eastAsia="Times New Roman" w:cs="Times New Roman"/>
          <w:kern w:val="0"/>
          <w:szCs w:val="24"/>
          <w14:ligatures w14:val="none"/>
        </w:rPr>
        <w:t>[3]</w:t>
      </w:r>
    </w:p>
    <w:p w14:paraId="717EA6A9" w14:textId="77777777" w:rsidR="00DA4FAD" w:rsidRPr="00DA4FAD" w:rsidRDefault="00DA4FAD" w:rsidP="00DA4FAD">
      <w:pPr>
        <w:spacing w:after="0" w:line="240" w:lineRule="auto"/>
        <w:rPr>
          <w:rFonts w:eastAsia="Times New Roman" w:cs="Times New Roman"/>
          <w:kern w:val="0"/>
          <w:szCs w:val="24"/>
          <w14:ligatures w14:val="none"/>
        </w:rPr>
      </w:pPr>
      <w:r w:rsidRPr="00DA4FAD">
        <w:rPr>
          <w:rFonts w:eastAsia="Times New Roman" w:cs="Times New Roman"/>
          <w:kern w:val="0"/>
          <w:szCs w:val="24"/>
          <w14:ligatures w14:val="none"/>
        </w:rPr>
        <w:t xml:space="preserve">The Diligent team, “PCI DSS compliance explained,” </w:t>
      </w:r>
      <w:r w:rsidRPr="00DA4FAD">
        <w:rPr>
          <w:rFonts w:eastAsia="Times New Roman" w:cs="Times New Roman"/>
          <w:i/>
          <w:iCs/>
          <w:kern w:val="0"/>
          <w:szCs w:val="24"/>
          <w14:ligatures w14:val="none"/>
        </w:rPr>
        <w:t>Diligent.com</w:t>
      </w:r>
      <w:r w:rsidRPr="00DA4FAD">
        <w:rPr>
          <w:rFonts w:eastAsia="Times New Roman" w:cs="Times New Roman"/>
          <w:kern w:val="0"/>
          <w:szCs w:val="24"/>
          <w14:ligatures w14:val="none"/>
        </w:rPr>
        <w:t>, 2021. https://www.diligent.com/resources/blog/pci-dss-compliance-explained</w:t>
      </w:r>
    </w:p>
    <w:p w14:paraId="22CC9370" w14:textId="77777777" w:rsidR="00DA4FAD" w:rsidRPr="00DA4FAD" w:rsidRDefault="00DA4FAD" w:rsidP="00DA4FAD">
      <w:pPr>
        <w:spacing w:after="0" w:line="240" w:lineRule="auto"/>
        <w:rPr>
          <w:rFonts w:eastAsia="Times New Roman" w:cs="Times New Roman"/>
          <w:kern w:val="0"/>
          <w:szCs w:val="24"/>
          <w14:ligatures w14:val="none"/>
        </w:rPr>
      </w:pPr>
      <w:r w:rsidRPr="00DA4FAD">
        <w:rPr>
          <w:rFonts w:eastAsia="Times New Roman" w:cs="Times New Roman"/>
          <w:kern w:val="0"/>
          <w:szCs w:val="24"/>
          <w14:ligatures w14:val="none"/>
        </w:rPr>
        <w:t>[4]</w:t>
      </w:r>
    </w:p>
    <w:p w14:paraId="1D40F4D9" w14:textId="77777777" w:rsidR="00DA4FAD" w:rsidRPr="00DA4FAD" w:rsidRDefault="00DA4FAD" w:rsidP="00DA4FAD">
      <w:pPr>
        <w:spacing w:after="0" w:line="240" w:lineRule="auto"/>
        <w:rPr>
          <w:rFonts w:eastAsia="Times New Roman" w:cs="Times New Roman"/>
          <w:kern w:val="0"/>
          <w:szCs w:val="24"/>
          <w14:ligatures w14:val="none"/>
        </w:rPr>
      </w:pPr>
      <w:r w:rsidRPr="00DA4FAD">
        <w:rPr>
          <w:rFonts w:eastAsia="Times New Roman" w:cs="Times New Roman"/>
          <w:kern w:val="0"/>
          <w:szCs w:val="24"/>
          <w14:ligatures w14:val="none"/>
        </w:rPr>
        <w:t>“Payment Card Industry (PCI) Data Security Standard Self-Assessment Questionnaire A and Attestation of Compliance Card-not-present Merchants, All Cardholder Data Functions Fully Outsourced,” 2014.</w:t>
      </w:r>
    </w:p>
    <w:p w14:paraId="5FFDF568" w14:textId="77777777" w:rsidR="00DA4FAD" w:rsidRPr="00DA4FAD" w:rsidRDefault="00DA4FAD" w:rsidP="00DA4FAD">
      <w:pPr>
        <w:spacing w:after="0" w:line="240" w:lineRule="auto"/>
        <w:rPr>
          <w:rFonts w:eastAsia="Times New Roman" w:cs="Times New Roman"/>
          <w:kern w:val="0"/>
          <w:szCs w:val="24"/>
          <w14:ligatures w14:val="none"/>
        </w:rPr>
      </w:pPr>
      <w:r w:rsidRPr="00DA4FAD">
        <w:rPr>
          <w:rFonts w:eastAsia="Times New Roman" w:cs="Times New Roman"/>
          <w:kern w:val="0"/>
          <w:szCs w:val="24"/>
          <w14:ligatures w14:val="none"/>
        </w:rPr>
        <w:t>[5]</w:t>
      </w:r>
    </w:p>
    <w:p w14:paraId="2CBC890C" w14:textId="77777777" w:rsidR="00DA4FAD" w:rsidRPr="00DA4FAD" w:rsidRDefault="00DA4FAD" w:rsidP="00DA4FAD">
      <w:pPr>
        <w:spacing w:after="0" w:line="240" w:lineRule="auto"/>
        <w:rPr>
          <w:rFonts w:eastAsia="Times New Roman" w:cs="Times New Roman"/>
          <w:kern w:val="0"/>
          <w:szCs w:val="24"/>
          <w14:ligatures w14:val="none"/>
        </w:rPr>
      </w:pPr>
      <w:r w:rsidRPr="00DA4FAD">
        <w:rPr>
          <w:rFonts w:eastAsia="Times New Roman" w:cs="Times New Roman"/>
          <w:kern w:val="0"/>
          <w:szCs w:val="24"/>
          <w14:ligatures w14:val="none"/>
        </w:rPr>
        <w:t>“Payment Card Industry Data Security Standard Self-Assessment Questionnaire A-EP and Attestation of Compliance For use with PCI DSS Version 4.0,” 2022.</w:t>
      </w:r>
    </w:p>
    <w:p w14:paraId="57E26B46" w14:textId="77777777" w:rsidR="00DA4FAD" w:rsidRPr="00DA4FAD" w:rsidRDefault="00DA4FAD" w:rsidP="00DA4FAD">
      <w:pPr>
        <w:spacing w:after="0" w:line="240" w:lineRule="auto"/>
        <w:rPr>
          <w:rFonts w:eastAsia="Times New Roman" w:cs="Times New Roman"/>
          <w:kern w:val="0"/>
          <w:szCs w:val="24"/>
          <w14:ligatures w14:val="none"/>
        </w:rPr>
      </w:pPr>
      <w:r w:rsidRPr="00DA4FAD">
        <w:rPr>
          <w:rFonts w:eastAsia="Times New Roman" w:cs="Times New Roman"/>
          <w:kern w:val="0"/>
          <w:szCs w:val="24"/>
          <w14:ligatures w14:val="none"/>
        </w:rPr>
        <w:t>[6]</w:t>
      </w:r>
    </w:p>
    <w:p w14:paraId="243A3512" w14:textId="77777777" w:rsidR="00DA4FAD" w:rsidRPr="00DA4FAD" w:rsidRDefault="00DA4FAD" w:rsidP="00DA4FAD">
      <w:pPr>
        <w:spacing w:after="0" w:line="240" w:lineRule="auto"/>
        <w:rPr>
          <w:rFonts w:eastAsia="Times New Roman" w:cs="Times New Roman"/>
          <w:kern w:val="0"/>
          <w:szCs w:val="24"/>
          <w14:ligatures w14:val="none"/>
        </w:rPr>
      </w:pPr>
      <w:r w:rsidRPr="00DA4FAD">
        <w:rPr>
          <w:rFonts w:eastAsia="Times New Roman" w:cs="Times New Roman"/>
          <w:kern w:val="0"/>
          <w:szCs w:val="24"/>
          <w14:ligatures w14:val="none"/>
        </w:rPr>
        <w:t>“Payment Card Industry (PCI) Data Security Standard Self-Assessment Questionnaire C-VT and Attestation of Compliance Merchants with Web-Based Virtual Payment Terminals -No Electronic Cardholder Data Storage For use with PCI DSS Version 3.2 Revision 1.1,” 2017.</w:t>
      </w:r>
    </w:p>
    <w:p w14:paraId="6812C8CE" w14:textId="77777777" w:rsidR="00DA4FAD" w:rsidRPr="00DA4FAD" w:rsidRDefault="00DA4FAD" w:rsidP="00DA4FAD">
      <w:pPr>
        <w:spacing w:after="0" w:line="240" w:lineRule="auto"/>
        <w:rPr>
          <w:rFonts w:eastAsia="Times New Roman" w:cs="Times New Roman"/>
          <w:kern w:val="0"/>
          <w:szCs w:val="24"/>
          <w14:ligatures w14:val="none"/>
        </w:rPr>
      </w:pPr>
      <w:r w:rsidRPr="00DA4FAD">
        <w:rPr>
          <w:rFonts w:eastAsia="Times New Roman" w:cs="Times New Roman"/>
          <w:kern w:val="0"/>
          <w:szCs w:val="24"/>
          <w14:ligatures w14:val="none"/>
        </w:rPr>
        <w:t>[7]</w:t>
      </w:r>
    </w:p>
    <w:p w14:paraId="33AE7BCD" w14:textId="77777777" w:rsidR="00DA4FAD" w:rsidRPr="00DA4FAD" w:rsidRDefault="00DA4FAD" w:rsidP="00DA4FAD">
      <w:pPr>
        <w:spacing w:after="0" w:line="240" w:lineRule="auto"/>
        <w:rPr>
          <w:rFonts w:eastAsia="Times New Roman" w:cs="Times New Roman"/>
          <w:kern w:val="0"/>
          <w:szCs w:val="24"/>
          <w14:ligatures w14:val="none"/>
        </w:rPr>
      </w:pPr>
      <w:r w:rsidRPr="00DA4FAD">
        <w:rPr>
          <w:rFonts w:eastAsia="Times New Roman" w:cs="Times New Roman"/>
          <w:kern w:val="0"/>
          <w:szCs w:val="24"/>
          <w14:ligatures w14:val="none"/>
        </w:rPr>
        <w:t>“Payment Card Industry (PCI) Data Security Standard Self-Assessment Questionnaire C and Attestation of Compliance Merchants with Payment Application Systems Connected to the Internet- No Electronic Cardholder Data Storage,” 2014.</w:t>
      </w:r>
    </w:p>
    <w:p w14:paraId="47D02FB4" w14:textId="77777777" w:rsidR="00DA4FAD" w:rsidRPr="00DA4FAD" w:rsidRDefault="00DA4FAD" w:rsidP="00DA4FAD">
      <w:pPr>
        <w:spacing w:after="0" w:line="240" w:lineRule="auto"/>
        <w:rPr>
          <w:rFonts w:eastAsia="Times New Roman" w:cs="Times New Roman"/>
          <w:kern w:val="0"/>
          <w:szCs w:val="24"/>
          <w14:ligatures w14:val="none"/>
        </w:rPr>
      </w:pPr>
      <w:r w:rsidRPr="00DA4FAD">
        <w:rPr>
          <w:rFonts w:eastAsia="Times New Roman" w:cs="Times New Roman"/>
          <w:kern w:val="0"/>
          <w:szCs w:val="24"/>
          <w14:ligatures w14:val="none"/>
        </w:rPr>
        <w:t>[8]</w:t>
      </w:r>
    </w:p>
    <w:p w14:paraId="18C2EA21" w14:textId="77777777" w:rsidR="00DA4FAD" w:rsidRPr="00DA4FAD" w:rsidRDefault="00DA4FAD" w:rsidP="00DA4FAD">
      <w:pPr>
        <w:spacing w:after="0" w:line="240" w:lineRule="auto"/>
        <w:rPr>
          <w:rFonts w:eastAsia="Times New Roman" w:cs="Times New Roman"/>
          <w:kern w:val="0"/>
          <w:szCs w:val="24"/>
          <w14:ligatures w14:val="none"/>
        </w:rPr>
      </w:pPr>
      <w:r w:rsidRPr="00DA4FAD">
        <w:rPr>
          <w:rFonts w:eastAsia="Times New Roman" w:cs="Times New Roman"/>
          <w:kern w:val="0"/>
          <w:szCs w:val="24"/>
          <w14:ligatures w14:val="none"/>
        </w:rPr>
        <w:t>“Payment Card Industry (PCI) Data Security Standard Self-Assessment Questionnaire P2PE and Attestation of Compliance Merchants using Hardware Payment Terminals in a PCI SSC-Listed P2PE Solution Only -No Electronic Cardholder Data Storage For use with PCI DSS Version 3.2,” 2016.</w:t>
      </w:r>
    </w:p>
    <w:p w14:paraId="089CB062" w14:textId="77777777" w:rsidR="00DA4FAD" w:rsidRPr="00DA4FAD" w:rsidRDefault="00DA4FAD" w:rsidP="00DA4FAD">
      <w:pPr>
        <w:spacing w:after="0" w:line="240" w:lineRule="auto"/>
        <w:rPr>
          <w:rFonts w:eastAsia="Times New Roman" w:cs="Times New Roman"/>
          <w:kern w:val="0"/>
          <w:szCs w:val="24"/>
          <w14:ligatures w14:val="none"/>
        </w:rPr>
      </w:pPr>
      <w:r w:rsidRPr="00DA4FAD">
        <w:rPr>
          <w:rFonts w:eastAsia="Times New Roman" w:cs="Times New Roman"/>
          <w:kern w:val="0"/>
          <w:szCs w:val="24"/>
          <w14:ligatures w14:val="none"/>
        </w:rPr>
        <w:t>[9]</w:t>
      </w:r>
    </w:p>
    <w:p w14:paraId="7E276282" w14:textId="77777777" w:rsidR="00DA4FAD" w:rsidRPr="00DA4FAD" w:rsidRDefault="00DA4FAD" w:rsidP="00DA4FAD">
      <w:pPr>
        <w:spacing w:after="0" w:line="240" w:lineRule="auto"/>
        <w:rPr>
          <w:rFonts w:eastAsia="Times New Roman" w:cs="Times New Roman"/>
          <w:kern w:val="0"/>
          <w:szCs w:val="24"/>
          <w14:ligatures w14:val="none"/>
        </w:rPr>
      </w:pPr>
      <w:r w:rsidRPr="00DA4FAD">
        <w:rPr>
          <w:rFonts w:eastAsia="Times New Roman" w:cs="Times New Roman"/>
          <w:kern w:val="0"/>
          <w:szCs w:val="24"/>
          <w14:ligatures w14:val="none"/>
        </w:rPr>
        <w:t xml:space="preserve">“PCI Compliance Checklist for 2022,” </w:t>
      </w:r>
      <w:proofErr w:type="spellStart"/>
      <w:r w:rsidRPr="00DA4FAD">
        <w:rPr>
          <w:rFonts w:eastAsia="Times New Roman" w:cs="Times New Roman"/>
          <w:i/>
          <w:iCs/>
          <w:kern w:val="0"/>
          <w:szCs w:val="24"/>
          <w14:ligatures w14:val="none"/>
        </w:rPr>
        <w:t>Secureframe</w:t>
      </w:r>
      <w:proofErr w:type="spellEnd"/>
      <w:r w:rsidRPr="00DA4FAD">
        <w:rPr>
          <w:rFonts w:eastAsia="Times New Roman" w:cs="Times New Roman"/>
          <w:kern w:val="0"/>
          <w:szCs w:val="24"/>
          <w14:ligatures w14:val="none"/>
        </w:rPr>
        <w:t>. https://secureframe.com/blog/pci-compliance-checklist (accessed Oct. 27, 2023).</w:t>
      </w:r>
    </w:p>
    <w:p w14:paraId="3FC5B971" w14:textId="77777777" w:rsidR="00DA4FAD" w:rsidRPr="00DA4FAD" w:rsidRDefault="00DA4FAD" w:rsidP="00DA4FAD"/>
    <w:sectPr w:rsidR="00DA4FAD" w:rsidRPr="00DA4F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39714B"/>
    <w:multiLevelType w:val="hybridMultilevel"/>
    <w:tmpl w:val="3294B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5868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9719D"/>
    <w:rsid w:val="000741EE"/>
    <w:rsid w:val="00136D1D"/>
    <w:rsid w:val="00244A98"/>
    <w:rsid w:val="00286E23"/>
    <w:rsid w:val="002F0C88"/>
    <w:rsid w:val="003177CB"/>
    <w:rsid w:val="0036130F"/>
    <w:rsid w:val="00365C96"/>
    <w:rsid w:val="00371C65"/>
    <w:rsid w:val="003B03D8"/>
    <w:rsid w:val="003F6859"/>
    <w:rsid w:val="00407634"/>
    <w:rsid w:val="004379EB"/>
    <w:rsid w:val="004411FE"/>
    <w:rsid w:val="005D1C10"/>
    <w:rsid w:val="006251D9"/>
    <w:rsid w:val="00694258"/>
    <w:rsid w:val="006A0A66"/>
    <w:rsid w:val="006A6107"/>
    <w:rsid w:val="00760612"/>
    <w:rsid w:val="00764225"/>
    <w:rsid w:val="007E1F1A"/>
    <w:rsid w:val="008A59E1"/>
    <w:rsid w:val="00905608"/>
    <w:rsid w:val="00993AC2"/>
    <w:rsid w:val="009E09D5"/>
    <w:rsid w:val="00A8787B"/>
    <w:rsid w:val="00A9719D"/>
    <w:rsid w:val="00AD11A4"/>
    <w:rsid w:val="00B057DC"/>
    <w:rsid w:val="00B86DE0"/>
    <w:rsid w:val="00B9676C"/>
    <w:rsid w:val="00CE5D19"/>
    <w:rsid w:val="00D0380E"/>
    <w:rsid w:val="00D83B21"/>
    <w:rsid w:val="00DA4FAD"/>
    <w:rsid w:val="00DD22C1"/>
    <w:rsid w:val="00FF1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BCE965"/>
  <w15:chartTrackingRefBased/>
  <w15:docId w15:val="{3C055DD2-3A4C-4511-B2DF-AE5205ED4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D97"/>
    <w:rPr>
      <w:rFonts w:ascii="Times New Roman" w:hAnsi="Times New Roman"/>
      <w:sz w:val="24"/>
    </w:rPr>
  </w:style>
  <w:style w:type="paragraph" w:styleId="Heading1">
    <w:name w:val="heading 1"/>
    <w:basedOn w:val="Normal"/>
    <w:next w:val="Normal"/>
    <w:link w:val="Heading1Char"/>
    <w:autoRedefine/>
    <w:uiPriority w:val="9"/>
    <w:qFormat/>
    <w:rsid w:val="006A0A66"/>
    <w:pPr>
      <w:keepNext/>
      <w:keepLines/>
      <w:shd w:val="clear" w:color="auto" w:fill="FFFFFF"/>
      <w:spacing w:after="150"/>
      <w:outlineLvl w:val="0"/>
    </w:pPr>
    <w:rPr>
      <w:rFonts w:eastAsiaTheme="majorEastAsia" w:cs="Arial"/>
      <w:b/>
      <w:bCs/>
      <w:color w:val="000000" w:themeColor="text1"/>
      <w:sz w:val="32"/>
      <w:szCs w:val="32"/>
    </w:rPr>
  </w:style>
  <w:style w:type="paragraph" w:styleId="Heading2">
    <w:name w:val="heading 2"/>
    <w:basedOn w:val="Normal"/>
    <w:next w:val="Normal"/>
    <w:link w:val="Heading2Char"/>
    <w:uiPriority w:val="9"/>
    <w:unhideWhenUsed/>
    <w:qFormat/>
    <w:rsid w:val="00694258"/>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semiHidden/>
    <w:unhideWhenUsed/>
    <w:qFormat/>
    <w:rsid w:val="00694258"/>
    <w:pPr>
      <w:keepNext/>
      <w:keepLines/>
      <w:spacing w:before="40" w:after="0"/>
      <w:outlineLvl w:val="2"/>
    </w:pPr>
    <w:rPr>
      <w:rFonts w:eastAsiaTheme="majorEastAsia" w:cstheme="majorBidi"/>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A66"/>
    <w:rPr>
      <w:rFonts w:ascii="Times New Roman" w:eastAsiaTheme="majorEastAsia" w:hAnsi="Times New Roman" w:cs="Arial"/>
      <w:b/>
      <w:bCs/>
      <w:color w:val="000000" w:themeColor="text1"/>
      <w:sz w:val="32"/>
      <w:szCs w:val="32"/>
      <w:shd w:val="clear" w:color="auto" w:fill="FFFFFF"/>
    </w:rPr>
  </w:style>
  <w:style w:type="paragraph" w:customStyle="1" w:styleId="head">
    <w:name w:val="head"/>
    <w:basedOn w:val="Heading1"/>
    <w:link w:val="headChar"/>
    <w:autoRedefine/>
    <w:qFormat/>
    <w:rsid w:val="00CE5D19"/>
    <w:rPr>
      <w:b w:val="0"/>
      <w:bCs w:val="0"/>
    </w:rPr>
  </w:style>
  <w:style w:type="character" w:customStyle="1" w:styleId="headChar">
    <w:name w:val="head Char"/>
    <w:basedOn w:val="Heading1Char"/>
    <w:link w:val="head"/>
    <w:rsid w:val="00CE5D19"/>
    <w:rPr>
      <w:rFonts w:ascii="Times New Roman" w:eastAsiaTheme="majorEastAsia" w:hAnsi="Times New Roman" w:cs="Arial"/>
      <w:b w:val="0"/>
      <w:bCs w:val="0"/>
      <w:color w:val="000000" w:themeColor="text1"/>
      <w:sz w:val="32"/>
      <w:szCs w:val="32"/>
      <w:shd w:val="clear" w:color="auto" w:fill="FFFFFF"/>
    </w:rPr>
  </w:style>
  <w:style w:type="paragraph" w:styleId="ListParagraph">
    <w:name w:val="List Paragraph"/>
    <w:basedOn w:val="Normal"/>
    <w:uiPriority w:val="34"/>
    <w:qFormat/>
    <w:rsid w:val="003177CB"/>
    <w:pPr>
      <w:ind w:left="720"/>
      <w:contextualSpacing/>
    </w:pPr>
  </w:style>
  <w:style w:type="character" w:customStyle="1" w:styleId="Heading2Char">
    <w:name w:val="Heading 2 Char"/>
    <w:basedOn w:val="DefaultParagraphFont"/>
    <w:link w:val="Heading2"/>
    <w:uiPriority w:val="9"/>
    <w:rsid w:val="00694258"/>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semiHidden/>
    <w:rsid w:val="00694258"/>
    <w:rPr>
      <w:rFonts w:ascii="Times New Roman" w:eastAsiaTheme="majorEastAsia" w:hAnsi="Times New Roman" w:cstheme="majorBidi"/>
      <w:color w:val="000000" w:themeColor="text1"/>
      <w:sz w:val="28"/>
      <w:szCs w:val="24"/>
    </w:rPr>
  </w:style>
  <w:style w:type="table" w:styleId="TableGrid">
    <w:name w:val="Table Grid"/>
    <w:basedOn w:val="TableNormal"/>
    <w:uiPriority w:val="39"/>
    <w:rsid w:val="00AD11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abel-text">
    <w:name w:val="label-text"/>
    <w:basedOn w:val="DefaultParagraphFont"/>
    <w:rsid w:val="00136D1D"/>
  </w:style>
  <w:style w:type="paragraph" w:styleId="Caption">
    <w:name w:val="caption"/>
    <w:basedOn w:val="Normal"/>
    <w:next w:val="Normal"/>
    <w:uiPriority w:val="35"/>
    <w:unhideWhenUsed/>
    <w:qFormat/>
    <w:rsid w:val="00365C96"/>
    <w:pPr>
      <w:spacing w:after="200" w:line="240" w:lineRule="auto"/>
    </w:pPr>
    <w:rPr>
      <w:i/>
      <w:iCs/>
      <w:color w:val="44546A" w:themeColor="text2"/>
      <w:sz w:val="18"/>
      <w:szCs w:val="18"/>
    </w:rPr>
  </w:style>
  <w:style w:type="paragraph" w:styleId="NormalWeb">
    <w:name w:val="Normal (Web)"/>
    <w:basedOn w:val="Normal"/>
    <w:uiPriority w:val="99"/>
    <w:semiHidden/>
    <w:unhideWhenUsed/>
    <w:rsid w:val="00DA4FAD"/>
    <w:pPr>
      <w:spacing w:before="100" w:beforeAutospacing="1" w:after="100" w:afterAutospacing="1" w:line="240" w:lineRule="auto"/>
    </w:pPr>
    <w:rPr>
      <w:rFonts w:eastAsia="Times New Roman" w:cs="Times New Roman"/>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172768">
      <w:bodyDiv w:val="1"/>
      <w:marLeft w:val="0"/>
      <w:marRight w:val="0"/>
      <w:marTop w:val="0"/>
      <w:marBottom w:val="0"/>
      <w:divBdr>
        <w:top w:val="none" w:sz="0" w:space="0" w:color="auto"/>
        <w:left w:val="none" w:sz="0" w:space="0" w:color="auto"/>
        <w:bottom w:val="none" w:sz="0" w:space="0" w:color="auto"/>
        <w:right w:val="none" w:sz="0" w:space="0" w:color="auto"/>
      </w:divBdr>
      <w:divsChild>
        <w:div w:id="984312159">
          <w:marLeft w:val="0"/>
          <w:marRight w:val="0"/>
          <w:marTop w:val="0"/>
          <w:marBottom w:val="0"/>
          <w:divBdr>
            <w:top w:val="none" w:sz="0" w:space="0" w:color="auto"/>
            <w:left w:val="none" w:sz="0" w:space="0" w:color="auto"/>
            <w:bottom w:val="none" w:sz="0" w:space="0" w:color="auto"/>
            <w:right w:val="none" w:sz="0" w:space="0" w:color="auto"/>
          </w:divBdr>
          <w:divsChild>
            <w:div w:id="844393275">
              <w:marLeft w:val="0"/>
              <w:marRight w:val="0"/>
              <w:marTop w:val="0"/>
              <w:marBottom w:val="0"/>
              <w:divBdr>
                <w:top w:val="none" w:sz="0" w:space="0" w:color="auto"/>
                <w:left w:val="none" w:sz="0" w:space="0" w:color="auto"/>
                <w:bottom w:val="none" w:sz="0" w:space="0" w:color="auto"/>
                <w:right w:val="none" w:sz="0" w:space="0" w:color="auto"/>
              </w:divBdr>
            </w:div>
            <w:div w:id="1750998604">
              <w:marLeft w:val="0"/>
              <w:marRight w:val="0"/>
              <w:marTop w:val="0"/>
              <w:marBottom w:val="0"/>
              <w:divBdr>
                <w:top w:val="none" w:sz="0" w:space="0" w:color="auto"/>
                <w:left w:val="none" w:sz="0" w:space="0" w:color="auto"/>
                <w:bottom w:val="none" w:sz="0" w:space="0" w:color="auto"/>
                <w:right w:val="none" w:sz="0" w:space="0" w:color="auto"/>
              </w:divBdr>
            </w:div>
            <w:div w:id="1568763621">
              <w:marLeft w:val="0"/>
              <w:marRight w:val="0"/>
              <w:marTop w:val="0"/>
              <w:marBottom w:val="0"/>
              <w:divBdr>
                <w:top w:val="none" w:sz="0" w:space="0" w:color="auto"/>
                <w:left w:val="none" w:sz="0" w:space="0" w:color="auto"/>
                <w:bottom w:val="none" w:sz="0" w:space="0" w:color="auto"/>
                <w:right w:val="none" w:sz="0" w:space="0" w:color="auto"/>
              </w:divBdr>
            </w:div>
            <w:div w:id="1701391435">
              <w:marLeft w:val="0"/>
              <w:marRight w:val="0"/>
              <w:marTop w:val="0"/>
              <w:marBottom w:val="0"/>
              <w:divBdr>
                <w:top w:val="none" w:sz="0" w:space="0" w:color="auto"/>
                <w:left w:val="none" w:sz="0" w:space="0" w:color="auto"/>
                <w:bottom w:val="none" w:sz="0" w:space="0" w:color="auto"/>
                <w:right w:val="none" w:sz="0" w:space="0" w:color="auto"/>
              </w:divBdr>
            </w:div>
            <w:div w:id="1306205793">
              <w:marLeft w:val="0"/>
              <w:marRight w:val="0"/>
              <w:marTop w:val="0"/>
              <w:marBottom w:val="0"/>
              <w:divBdr>
                <w:top w:val="none" w:sz="0" w:space="0" w:color="auto"/>
                <w:left w:val="none" w:sz="0" w:space="0" w:color="auto"/>
                <w:bottom w:val="none" w:sz="0" w:space="0" w:color="auto"/>
                <w:right w:val="none" w:sz="0" w:space="0" w:color="auto"/>
              </w:divBdr>
            </w:div>
            <w:div w:id="1901819161">
              <w:marLeft w:val="0"/>
              <w:marRight w:val="0"/>
              <w:marTop w:val="0"/>
              <w:marBottom w:val="0"/>
              <w:divBdr>
                <w:top w:val="none" w:sz="0" w:space="0" w:color="auto"/>
                <w:left w:val="none" w:sz="0" w:space="0" w:color="auto"/>
                <w:bottom w:val="none" w:sz="0" w:space="0" w:color="auto"/>
                <w:right w:val="none" w:sz="0" w:space="0" w:color="auto"/>
              </w:divBdr>
            </w:div>
            <w:div w:id="1932279650">
              <w:marLeft w:val="0"/>
              <w:marRight w:val="0"/>
              <w:marTop w:val="0"/>
              <w:marBottom w:val="0"/>
              <w:divBdr>
                <w:top w:val="none" w:sz="0" w:space="0" w:color="auto"/>
                <w:left w:val="none" w:sz="0" w:space="0" w:color="auto"/>
                <w:bottom w:val="none" w:sz="0" w:space="0" w:color="auto"/>
                <w:right w:val="none" w:sz="0" w:space="0" w:color="auto"/>
              </w:divBdr>
            </w:div>
            <w:div w:id="906183878">
              <w:marLeft w:val="0"/>
              <w:marRight w:val="0"/>
              <w:marTop w:val="0"/>
              <w:marBottom w:val="0"/>
              <w:divBdr>
                <w:top w:val="none" w:sz="0" w:space="0" w:color="auto"/>
                <w:left w:val="none" w:sz="0" w:space="0" w:color="auto"/>
                <w:bottom w:val="none" w:sz="0" w:space="0" w:color="auto"/>
                <w:right w:val="none" w:sz="0" w:space="0" w:color="auto"/>
              </w:divBdr>
            </w:div>
            <w:div w:id="156851046">
              <w:marLeft w:val="0"/>
              <w:marRight w:val="0"/>
              <w:marTop w:val="0"/>
              <w:marBottom w:val="0"/>
              <w:divBdr>
                <w:top w:val="none" w:sz="0" w:space="0" w:color="auto"/>
                <w:left w:val="none" w:sz="0" w:space="0" w:color="auto"/>
                <w:bottom w:val="none" w:sz="0" w:space="0" w:color="auto"/>
                <w:right w:val="none" w:sz="0" w:space="0" w:color="auto"/>
              </w:divBdr>
            </w:div>
            <w:div w:id="1922593237">
              <w:marLeft w:val="0"/>
              <w:marRight w:val="0"/>
              <w:marTop w:val="0"/>
              <w:marBottom w:val="0"/>
              <w:divBdr>
                <w:top w:val="none" w:sz="0" w:space="0" w:color="auto"/>
                <w:left w:val="none" w:sz="0" w:space="0" w:color="auto"/>
                <w:bottom w:val="none" w:sz="0" w:space="0" w:color="auto"/>
                <w:right w:val="none" w:sz="0" w:space="0" w:color="auto"/>
              </w:divBdr>
            </w:div>
            <w:div w:id="344139704">
              <w:marLeft w:val="0"/>
              <w:marRight w:val="0"/>
              <w:marTop w:val="0"/>
              <w:marBottom w:val="0"/>
              <w:divBdr>
                <w:top w:val="none" w:sz="0" w:space="0" w:color="auto"/>
                <w:left w:val="none" w:sz="0" w:space="0" w:color="auto"/>
                <w:bottom w:val="none" w:sz="0" w:space="0" w:color="auto"/>
                <w:right w:val="none" w:sz="0" w:space="0" w:color="auto"/>
              </w:divBdr>
            </w:div>
            <w:div w:id="1654989187">
              <w:marLeft w:val="0"/>
              <w:marRight w:val="0"/>
              <w:marTop w:val="0"/>
              <w:marBottom w:val="0"/>
              <w:divBdr>
                <w:top w:val="none" w:sz="0" w:space="0" w:color="auto"/>
                <w:left w:val="none" w:sz="0" w:space="0" w:color="auto"/>
                <w:bottom w:val="none" w:sz="0" w:space="0" w:color="auto"/>
                <w:right w:val="none" w:sz="0" w:space="0" w:color="auto"/>
              </w:divBdr>
            </w:div>
            <w:div w:id="890195014">
              <w:marLeft w:val="0"/>
              <w:marRight w:val="0"/>
              <w:marTop w:val="0"/>
              <w:marBottom w:val="0"/>
              <w:divBdr>
                <w:top w:val="none" w:sz="0" w:space="0" w:color="auto"/>
                <w:left w:val="none" w:sz="0" w:space="0" w:color="auto"/>
                <w:bottom w:val="none" w:sz="0" w:space="0" w:color="auto"/>
                <w:right w:val="none" w:sz="0" w:space="0" w:color="auto"/>
              </w:divBdr>
            </w:div>
            <w:div w:id="1128889406">
              <w:marLeft w:val="0"/>
              <w:marRight w:val="0"/>
              <w:marTop w:val="0"/>
              <w:marBottom w:val="0"/>
              <w:divBdr>
                <w:top w:val="none" w:sz="0" w:space="0" w:color="auto"/>
                <w:left w:val="none" w:sz="0" w:space="0" w:color="auto"/>
                <w:bottom w:val="none" w:sz="0" w:space="0" w:color="auto"/>
                <w:right w:val="none" w:sz="0" w:space="0" w:color="auto"/>
              </w:divBdr>
            </w:div>
            <w:div w:id="1944415600">
              <w:marLeft w:val="0"/>
              <w:marRight w:val="0"/>
              <w:marTop w:val="0"/>
              <w:marBottom w:val="0"/>
              <w:divBdr>
                <w:top w:val="none" w:sz="0" w:space="0" w:color="auto"/>
                <w:left w:val="none" w:sz="0" w:space="0" w:color="auto"/>
                <w:bottom w:val="none" w:sz="0" w:space="0" w:color="auto"/>
                <w:right w:val="none" w:sz="0" w:space="0" w:color="auto"/>
              </w:divBdr>
            </w:div>
            <w:div w:id="349646877">
              <w:marLeft w:val="0"/>
              <w:marRight w:val="0"/>
              <w:marTop w:val="0"/>
              <w:marBottom w:val="0"/>
              <w:divBdr>
                <w:top w:val="none" w:sz="0" w:space="0" w:color="auto"/>
                <w:left w:val="none" w:sz="0" w:space="0" w:color="auto"/>
                <w:bottom w:val="none" w:sz="0" w:space="0" w:color="auto"/>
                <w:right w:val="none" w:sz="0" w:space="0" w:color="auto"/>
              </w:divBdr>
            </w:div>
            <w:div w:id="1412848122">
              <w:marLeft w:val="0"/>
              <w:marRight w:val="0"/>
              <w:marTop w:val="0"/>
              <w:marBottom w:val="0"/>
              <w:divBdr>
                <w:top w:val="none" w:sz="0" w:space="0" w:color="auto"/>
                <w:left w:val="none" w:sz="0" w:space="0" w:color="auto"/>
                <w:bottom w:val="none" w:sz="0" w:space="0" w:color="auto"/>
                <w:right w:val="none" w:sz="0" w:space="0" w:color="auto"/>
              </w:divBdr>
            </w:div>
            <w:div w:id="183318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240026">
      <w:bodyDiv w:val="1"/>
      <w:marLeft w:val="0"/>
      <w:marRight w:val="0"/>
      <w:marTop w:val="0"/>
      <w:marBottom w:val="0"/>
      <w:divBdr>
        <w:top w:val="none" w:sz="0" w:space="0" w:color="auto"/>
        <w:left w:val="none" w:sz="0" w:space="0" w:color="auto"/>
        <w:bottom w:val="none" w:sz="0" w:space="0" w:color="auto"/>
        <w:right w:val="none" w:sz="0" w:space="0" w:color="auto"/>
      </w:divBdr>
      <w:divsChild>
        <w:div w:id="61874725">
          <w:marLeft w:val="0"/>
          <w:marRight w:val="0"/>
          <w:marTop w:val="0"/>
          <w:marBottom w:val="0"/>
          <w:divBdr>
            <w:top w:val="none" w:sz="0" w:space="0" w:color="auto"/>
            <w:left w:val="none" w:sz="0" w:space="0" w:color="auto"/>
            <w:bottom w:val="none" w:sz="0" w:space="0" w:color="auto"/>
            <w:right w:val="none" w:sz="0" w:space="0" w:color="auto"/>
          </w:divBdr>
          <w:divsChild>
            <w:div w:id="1940020907">
              <w:marLeft w:val="0"/>
              <w:marRight w:val="0"/>
              <w:marTop w:val="0"/>
              <w:marBottom w:val="0"/>
              <w:divBdr>
                <w:top w:val="none" w:sz="0" w:space="0" w:color="auto"/>
                <w:left w:val="none" w:sz="0" w:space="0" w:color="auto"/>
                <w:bottom w:val="none" w:sz="0" w:space="0" w:color="auto"/>
                <w:right w:val="none" w:sz="0" w:space="0" w:color="auto"/>
              </w:divBdr>
            </w:div>
            <w:div w:id="2090148533">
              <w:marLeft w:val="0"/>
              <w:marRight w:val="0"/>
              <w:marTop w:val="0"/>
              <w:marBottom w:val="0"/>
              <w:divBdr>
                <w:top w:val="none" w:sz="0" w:space="0" w:color="auto"/>
                <w:left w:val="none" w:sz="0" w:space="0" w:color="auto"/>
                <w:bottom w:val="none" w:sz="0" w:space="0" w:color="auto"/>
                <w:right w:val="none" w:sz="0" w:space="0" w:color="auto"/>
              </w:divBdr>
            </w:div>
            <w:div w:id="2030141180">
              <w:marLeft w:val="0"/>
              <w:marRight w:val="0"/>
              <w:marTop w:val="0"/>
              <w:marBottom w:val="0"/>
              <w:divBdr>
                <w:top w:val="none" w:sz="0" w:space="0" w:color="auto"/>
                <w:left w:val="none" w:sz="0" w:space="0" w:color="auto"/>
                <w:bottom w:val="none" w:sz="0" w:space="0" w:color="auto"/>
                <w:right w:val="none" w:sz="0" w:space="0" w:color="auto"/>
              </w:divBdr>
            </w:div>
            <w:div w:id="1100833101">
              <w:marLeft w:val="0"/>
              <w:marRight w:val="0"/>
              <w:marTop w:val="0"/>
              <w:marBottom w:val="0"/>
              <w:divBdr>
                <w:top w:val="none" w:sz="0" w:space="0" w:color="auto"/>
                <w:left w:val="none" w:sz="0" w:space="0" w:color="auto"/>
                <w:bottom w:val="none" w:sz="0" w:space="0" w:color="auto"/>
                <w:right w:val="none" w:sz="0" w:space="0" w:color="auto"/>
              </w:divBdr>
            </w:div>
            <w:div w:id="1889415316">
              <w:marLeft w:val="0"/>
              <w:marRight w:val="0"/>
              <w:marTop w:val="0"/>
              <w:marBottom w:val="0"/>
              <w:divBdr>
                <w:top w:val="none" w:sz="0" w:space="0" w:color="auto"/>
                <w:left w:val="none" w:sz="0" w:space="0" w:color="auto"/>
                <w:bottom w:val="none" w:sz="0" w:space="0" w:color="auto"/>
                <w:right w:val="none" w:sz="0" w:space="0" w:color="auto"/>
              </w:divBdr>
            </w:div>
            <w:div w:id="885027731">
              <w:marLeft w:val="0"/>
              <w:marRight w:val="0"/>
              <w:marTop w:val="0"/>
              <w:marBottom w:val="0"/>
              <w:divBdr>
                <w:top w:val="none" w:sz="0" w:space="0" w:color="auto"/>
                <w:left w:val="none" w:sz="0" w:space="0" w:color="auto"/>
                <w:bottom w:val="none" w:sz="0" w:space="0" w:color="auto"/>
                <w:right w:val="none" w:sz="0" w:space="0" w:color="auto"/>
              </w:divBdr>
            </w:div>
            <w:div w:id="1781795312">
              <w:marLeft w:val="0"/>
              <w:marRight w:val="0"/>
              <w:marTop w:val="0"/>
              <w:marBottom w:val="0"/>
              <w:divBdr>
                <w:top w:val="none" w:sz="0" w:space="0" w:color="auto"/>
                <w:left w:val="none" w:sz="0" w:space="0" w:color="auto"/>
                <w:bottom w:val="none" w:sz="0" w:space="0" w:color="auto"/>
                <w:right w:val="none" w:sz="0" w:space="0" w:color="auto"/>
              </w:divBdr>
            </w:div>
            <w:div w:id="943996268">
              <w:marLeft w:val="0"/>
              <w:marRight w:val="0"/>
              <w:marTop w:val="0"/>
              <w:marBottom w:val="0"/>
              <w:divBdr>
                <w:top w:val="none" w:sz="0" w:space="0" w:color="auto"/>
                <w:left w:val="none" w:sz="0" w:space="0" w:color="auto"/>
                <w:bottom w:val="none" w:sz="0" w:space="0" w:color="auto"/>
                <w:right w:val="none" w:sz="0" w:space="0" w:color="auto"/>
              </w:divBdr>
            </w:div>
            <w:div w:id="1612282818">
              <w:marLeft w:val="0"/>
              <w:marRight w:val="0"/>
              <w:marTop w:val="0"/>
              <w:marBottom w:val="0"/>
              <w:divBdr>
                <w:top w:val="none" w:sz="0" w:space="0" w:color="auto"/>
                <w:left w:val="none" w:sz="0" w:space="0" w:color="auto"/>
                <w:bottom w:val="none" w:sz="0" w:space="0" w:color="auto"/>
                <w:right w:val="none" w:sz="0" w:space="0" w:color="auto"/>
              </w:divBdr>
            </w:div>
            <w:div w:id="1632322163">
              <w:marLeft w:val="0"/>
              <w:marRight w:val="0"/>
              <w:marTop w:val="0"/>
              <w:marBottom w:val="0"/>
              <w:divBdr>
                <w:top w:val="none" w:sz="0" w:space="0" w:color="auto"/>
                <w:left w:val="none" w:sz="0" w:space="0" w:color="auto"/>
                <w:bottom w:val="none" w:sz="0" w:space="0" w:color="auto"/>
                <w:right w:val="none" w:sz="0" w:space="0" w:color="auto"/>
              </w:divBdr>
            </w:div>
            <w:div w:id="1351370329">
              <w:marLeft w:val="0"/>
              <w:marRight w:val="0"/>
              <w:marTop w:val="0"/>
              <w:marBottom w:val="0"/>
              <w:divBdr>
                <w:top w:val="none" w:sz="0" w:space="0" w:color="auto"/>
                <w:left w:val="none" w:sz="0" w:space="0" w:color="auto"/>
                <w:bottom w:val="none" w:sz="0" w:space="0" w:color="auto"/>
                <w:right w:val="none" w:sz="0" w:space="0" w:color="auto"/>
              </w:divBdr>
            </w:div>
            <w:div w:id="1632444374">
              <w:marLeft w:val="0"/>
              <w:marRight w:val="0"/>
              <w:marTop w:val="0"/>
              <w:marBottom w:val="0"/>
              <w:divBdr>
                <w:top w:val="none" w:sz="0" w:space="0" w:color="auto"/>
                <w:left w:val="none" w:sz="0" w:space="0" w:color="auto"/>
                <w:bottom w:val="none" w:sz="0" w:space="0" w:color="auto"/>
                <w:right w:val="none" w:sz="0" w:space="0" w:color="auto"/>
              </w:divBdr>
            </w:div>
            <w:div w:id="1710258479">
              <w:marLeft w:val="0"/>
              <w:marRight w:val="0"/>
              <w:marTop w:val="0"/>
              <w:marBottom w:val="0"/>
              <w:divBdr>
                <w:top w:val="none" w:sz="0" w:space="0" w:color="auto"/>
                <w:left w:val="none" w:sz="0" w:space="0" w:color="auto"/>
                <w:bottom w:val="none" w:sz="0" w:space="0" w:color="auto"/>
                <w:right w:val="none" w:sz="0" w:space="0" w:color="auto"/>
              </w:divBdr>
            </w:div>
            <w:div w:id="453138498">
              <w:marLeft w:val="0"/>
              <w:marRight w:val="0"/>
              <w:marTop w:val="0"/>
              <w:marBottom w:val="0"/>
              <w:divBdr>
                <w:top w:val="none" w:sz="0" w:space="0" w:color="auto"/>
                <w:left w:val="none" w:sz="0" w:space="0" w:color="auto"/>
                <w:bottom w:val="none" w:sz="0" w:space="0" w:color="auto"/>
                <w:right w:val="none" w:sz="0" w:space="0" w:color="auto"/>
              </w:divBdr>
            </w:div>
            <w:div w:id="1843353939">
              <w:marLeft w:val="0"/>
              <w:marRight w:val="0"/>
              <w:marTop w:val="0"/>
              <w:marBottom w:val="0"/>
              <w:divBdr>
                <w:top w:val="none" w:sz="0" w:space="0" w:color="auto"/>
                <w:left w:val="none" w:sz="0" w:space="0" w:color="auto"/>
                <w:bottom w:val="none" w:sz="0" w:space="0" w:color="auto"/>
                <w:right w:val="none" w:sz="0" w:space="0" w:color="auto"/>
              </w:divBdr>
            </w:div>
            <w:div w:id="183896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7C9F1C-E813-4694-8E3A-76E358523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1328</Words>
  <Characters>8226</Characters>
  <Application>Microsoft Office Word</Application>
  <DocSecurity>0</DocSecurity>
  <Lines>205</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Prabath A.R it21233326</dc:creator>
  <cp:keywords/>
  <dc:description/>
  <cp:lastModifiedBy>Prabath A.R it21233326</cp:lastModifiedBy>
  <cp:revision>4</cp:revision>
  <dcterms:created xsi:type="dcterms:W3CDTF">2023-10-17T10:36:00Z</dcterms:created>
  <dcterms:modified xsi:type="dcterms:W3CDTF">2023-10-27T15:17:00Z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478bee0f-4889-40b3-ba69-f0623db0ca5d</vt:lpwstr>
  </property>
</Properties>
</file>