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A5276"/>
          <w:sz w:val="40"/>
        </w:rPr>
        <w:t>GEOSPATIAL ANALYSIS &amp; ACCURACY ASSESSMENT</w:t>
        <w:br/>
        <w:t>ARANAYAKA LANDSLIDE (17 MAY 2016)</w:t>
      </w:r>
    </w:p>
    <w:p>
      <w:pPr>
        <w:spacing w:after="480"/>
        <w:jc w:val="center"/>
      </w:pPr>
      <w:r>
        <w:rPr>
          <w:rFonts w:ascii="Arial" w:hAnsi="Arial"/>
          <w:i/>
          <w:color w:val="7F8C8D"/>
          <w:sz w:val="26"/>
        </w:rPr>
        <w:t>Sentinel-2 Google Earth Engine &amp; QGIS Workflow Validation Report</w:t>
      </w:r>
    </w:p>
    <w:p>
      <w:pPr>
        <w:spacing w:after="480"/>
        <w:jc w:val="center"/>
      </w:pPr>
      <w:r>
        <w:rPr>
          <w:color w:val="C8C8C8"/>
        </w:rPr>
        <w:t>__________________________________________________________________</w:t>
      </w:r>
    </w:p>
    <w:p>
      <w:pPr>
        <w:pStyle w:val="Heading1"/>
        <w:spacing w:before="240" w:after="120"/>
      </w:pPr>
      <w:r>
        <w:rPr>
          <w:rFonts w:ascii="Arial" w:hAnsi="Arial"/>
          <w:color w:val="1A5276"/>
        </w:rPr>
        <w:t>1. Executive Summary</w:t>
      </w:r>
    </w:p>
    <w:p>
      <w:pPr>
        <w:spacing w:after="240"/>
      </w:pPr>
      <w:r>
        <w:t>On 17 May 2016, torrential rains triggered a catastrophic landslide on the slopes of Samasara Kanda in Aranayaka, Kegalle District, Sri Lanka. This disaster caused severe casualties, extensive property damage, and destroyed large areas of vegetation and infrastructure. This technical report provides a rigorous assessment of the landslide's impact using Sentinel-2 pre- and post-event satellite imagery. It documents the spatial methodology implemented in Google Earth Engine (GEE) and mirrored in QGIS (Steps 1–8), and validates the resulting severity map against field reference validation points from Table 4.2.</w:t>
      </w:r>
    </w:p>
    <w:p>
      <w:pPr>
        <w:pStyle w:val="Heading1"/>
        <w:spacing w:before="240" w:after="120"/>
      </w:pPr>
      <w:r>
        <w:rPr>
          <w:rFonts w:ascii="Arial" w:hAnsi="Arial"/>
          <w:color w:val="1A5276"/>
        </w:rPr>
        <w:t>2. Methodological Framework (Steps 1-8)</w:t>
      </w:r>
    </w:p>
    <w:p>
      <w:pPr>
        <w:spacing w:after="240"/>
      </w:pPr>
      <w:r>
        <w:t>The analysis closely integrates the parallel capabilities of QGIS and Google Earth Engine to execute a robust change-detection and damage assessment workflow. Below is the step-by-step methodology:</w:t>
      </w:r>
    </w:p>
    <w:p>
      <w:pPr>
        <w:spacing w:before="120" w:after="40"/>
      </w:pPr>
      <w:r>
        <w:rPr>
          <w:b/>
          <w:color w:val="2C3E50"/>
        </w:rPr>
        <w:t>Step 1: Date Discovery &amp; Image Selection</w:t>
      </w:r>
    </w:p>
    <w:p>
      <w:pPr>
        <w:spacing w:after="160"/>
        <w:ind w:left="360"/>
      </w:pPr>
      <w:r>
        <w:t>Because the landslide occurred on 17 May 2016, cloud-free imagery was critical. In QGIS, this involved browsing the Copernicus Data Space Browser manually for March–April 2016 (Pre-event) and June–July 2016 (Post-event) to find the clearest tiles. In GEE, we programmatically discovered that Sentinel-2 Level-2A Surface Reflectance (SR) is unavailable before March 2017. To solve this critical data gap, we utilized the Top-Of-Atmosphere (TOA) collection ('COPERNICUS/S2_HARMONIZED'), which is available from June 2015. We sorted scenes by 'CLOUDY_PIXEL_PERCENTAGE' to automatically isolate the cleanest pre- and post-event images over the Aranayaka boundary.</w:t>
      </w:r>
    </w:p>
    <w:p>
      <w:pPr>
        <w:spacing w:before="120" w:after="40"/>
      </w:pPr>
      <w:r>
        <w:rPr>
          <w:b/>
          <w:color w:val="2C3E50"/>
        </w:rPr>
        <w:t>Step 2: Pre-Processing (Clipping &amp; Resampling)</w:t>
      </w:r>
    </w:p>
    <w:p>
      <w:pPr>
        <w:spacing w:after="160"/>
        <w:ind w:left="360"/>
      </w:pPr>
      <w:r>
        <w:t>Sentinel-2's SWIR band (B11) is captured at 20 m resolution, whereas the red and NIR bands (B4, B8) are at 10 m resolution. In QGIS, the bands were clipped to the Aranayaka boundary using the 'Clip Raster by Mask Layer' tool, and B11 was reprojected and resampled to 10 m using bilinear warping. In GEE, we mirrored this by clipping both pre- and post-event scenes to the AOI, resampling B11 to 10 m via '.resample('bilinear')' and reprojecting it to match B8's projection and grid.</w:t>
      </w:r>
    </w:p>
    <w:p>
      <w:pPr>
        <w:spacing w:before="120" w:after="40"/>
      </w:pPr>
      <w:r>
        <w:rPr>
          <w:b/>
          <w:color w:val="2C3E50"/>
        </w:rPr>
        <w:t>Step 3: Spectral Indices Calculation</w:t>
      </w:r>
    </w:p>
    <w:p>
      <w:pPr>
        <w:spacing w:after="160"/>
        <w:ind w:left="360"/>
      </w:pPr>
      <w:r>
        <w:t>Spectral indices were computed to identify changes in vegetative cover and soil moisture. We calculated the Normalized Difference Vegetation Index (NDVI) and the Normalized Burn Ratio (NBR) using the formulas:</w:t>
        <w:br/>
        <w:t>• NDVI = (B8 - B4) / (B8 + B4)</w:t>
        <w:br/>
        <w:t>• NBR = (B8 - B11_10m) / (B8 + B11_10m)</w:t>
        <w:br/>
        <w:t>In QGIS, this was executed via the Raster Calculator. In GEE, we utilized '.normalizedDifference()' and raster math operations.</w:t>
      </w:r>
    </w:p>
    <w:p>
      <w:pPr>
        <w:spacing w:before="120" w:after="40"/>
      </w:pPr>
      <w:r>
        <w:rPr>
          <w:b/>
          <w:color w:val="2C3E50"/>
        </w:rPr>
        <w:t>Step 4: Change Detection</w:t>
      </w:r>
    </w:p>
    <w:p>
      <w:pPr>
        <w:spacing w:after="160"/>
        <w:ind w:left="360"/>
      </w:pPr>
      <w:r>
        <w:t>Differencing the pre- and post-event spectral indices isolates land cover change:</w:t>
        <w:br/>
        <w:t>• NDVI_diff = NDVI_pre - NDVI_post</w:t>
        <w:br/>
        <w:t>• dNBR = NBR_pre - NBR_post</w:t>
        <w:br/>
        <w:t>Vegetation loss associated with the landslide was extracted by applying a threshold of NDVI_diff &gt; 0.20 to generate a binary change mask.</w:t>
      </w:r>
    </w:p>
    <w:p>
      <w:pPr>
        <w:spacing w:before="120" w:after="40"/>
      </w:pPr>
      <w:r>
        <w:rPr>
          <w:b/>
          <w:color w:val="2C3E50"/>
        </w:rPr>
        <w:t>Step 5: Landslide Inventory Generation</w:t>
      </w:r>
    </w:p>
    <w:p>
      <w:pPr>
        <w:spacing w:after="160"/>
        <w:ind w:left="360"/>
      </w:pPr>
      <w:r>
        <w:t>In QGIS, the binary change mask was polygonized (Raster &gt; Conversion &gt; Polygonize), and small polygons (less than 500 m²) were deleted using Field Calculator and attribute filtering to remove speckle noise. In GEE, we converted the change mask into vector polygons using '.reduceToVectors()', computed each polygon's area, and filtered out any polygons smaller than 500 m², establishing the final landslide inventory map.</w:t>
      </w:r>
    </w:p>
    <w:p>
      <w:pPr>
        <w:spacing w:before="120" w:after="40"/>
      </w:pPr>
      <w:r>
        <w:rPr>
          <w:b/>
          <w:color w:val="2C3E50"/>
        </w:rPr>
        <w:t>Step 6: Damage Severity Modeling (LDSI)</w:t>
      </w:r>
    </w:p>
    <w:p>
      <w:pPr>
        <w:spacing w:after="160"/>
        <w:ind w:left="360"/>
      </w:pPr>
      <w:r>
        <w:t>To classify the severity of the damage, we normalized the NDVI_diff and dNBR layers into a [0, 1] range using their minimum/maximum values, and combined them into the Landslide Damage Severity Index (LDSI):</w:t>
        <w:br/>
        <w:t>• LDSI = (0.6 * NDVI_norm) + (0.4 * dNBR_norm)</w:t>
        <w:br/>
        <w:t>The continuous LDSI raster was then reclassified into 4 discrete classes: Class 1 (No Damage: 0.00 to 0.25), Class 2 (Low: 0.25 to 0.50), Class 3 (Moderate: 0.50 to 0.75), and Class 4 (Severe: &gt; 0.75).</w:t>
      </w:r>
    </w:p>
    <w:p>
      <w:pPr>
        <w:spacing w:before="120" w:after="40"/>
      </w:pPr>
      <w:r>
        <w:rPr>
          <w:b/>
          <w:color w:val="2C3E50"/>
        </w:rPr>
        <w:t>Step 7: Vulnerability and Impact Assessment</w:t>
      </w:r>
    </w:p>
    <w:p>
      <w:pPr>
        <w:spacing w:after="160"/>
        <w:ind w:left="360"/>
      </w:pPr>
      <w:r>
        <w:t>In QGIS, OpenStreetMap road networks were imported via QuickOSM, and zonal statistics were run on WorldPop (100 m resolution) and ESA WorldCover (10 m resolution) grids. GEE mirrored this by using the WorldPop 2016 country dataset for Sri Lanka and masking the grid with the severity layer to estimate the exposed population per damage class.</w:t>
      </w:r>
    </w:p>
    <w:p>
      <w:pPr>
        <w:spacing w:before="120" w:after="40"/>
      </w:pPr>
      <w:r>
        <w:rPr>
          <w:b/>
          <w:color w:val="2C3E50"/>
        </w:rPr>
        <w:t>Step 8: Accuracy Assessment &amp; Validation</w:t>
      </w:r>
    </w:p>
    <w:p>
      <w:pPr>
        <w:spacing w:after="160"/>
        <w:ind w:left="360"/>
      </w:pPr>
      <w:r>
        <w:t>To assess the accuracy of our severity mapping, reference points representing field-verified damage and susceptibility levels were imported. Raster values were extracted at each point (via QGIS 'Sample Raster Values' or GEE '.sampleRegions()') and compared against field validation data from Table 4.2 to generate a confusion matrix.</w:t>
      </w:r>
    </w:p>
    <w:p>
      <w:pPr>
        <w:pStyle w:val="Heading1"/>
        <w:spacing w:before="320" w:after="120"/>
      </w:pPr>
      <w:r>
        <w:rPr>
          <w:rFonts w:ascii="Arial" w:hAnsi="Arial"/>
          <w:color w:val="1A5276"/>
        </w:rPr>
        <w:t>3. Accuracy Assessment &amp; Validation</w:t>
      </w:r>
    </w:p>
    <w:p>
      <w:pPr>
        <w:spacing w:after="240"/>
      </w:pPr>
      <w:r>
        <w:t>A rigorous validation of the GEE/QGIS landslide model was performed using field-verified reference coordinates and risk classes from Table 4.2. The validation coordinate system is confirmed as EPSG:32644 (WGS 84 / UTM Zone 44N).</w:t>
      </w:r>
    </w:p>
    <w:p>
      <w:pPr>
        <w:pStyle w:val="Heading2"/>
        <w:spacing w:before="200" w:after="80"/>
      </w:pPr>
      <w:r>
        <w:rPr>
          <w:rFonts w:ascii="Arial" w:hAnsi="Arial"/>
          <w:color w:val="2980B9"/>
        </w:rPr>
        <w:t>Table 4.2: Coordinates &amp; Field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A5276"/>
            <w:tcMar>
              <w:top w:w="120" w:type="dxa"/>
              <w:bottom w:w="120" w:type="dxa"/>
              <w:left w:w="150" w:type="dxa"/>
              <w:right w:w="150" w:type="dxa"/>
            </w:tcMar>
          </w:tcPr>
          <w:p>
            <w:pPr>
              <w:jc w:val="center"/>
            </w:pPr>
            <w:r>
              <w:rPr>
                <w:b/>
                <w:color w:val="FFFFFF"/>
              </w:rPr>
              <w:t>Point ID</w:t>
            </w:r>
          </w:p>
        </w:tc>
        <w:tc>
          <w:tcPr>
            <w:tcW w:type="dxa" w:w="1560"/>
            <w:shd w:fill="1A5276"/>
            <w:tcMar>
              <w:top w:w="120" w:type="dxa"/>
              <w:bottom w:w="120" w:type="dxa"/>
              <w:left w:w="150" w:type="dxa"/>
              <w:right w:w="150" w:type="dxa"/>
            </w:tcMar>
          </w:tcPr>
          <w:p>
            <w:pPr>
              <w:jc w:val="center"/>
            </w:pPr>
            <w:r>
              <w:rPr>
                <w:b/>
                <w:color w:val="FFFFFF"/>
              </w:rPr>
              <w:t>Location Name</w:t>
            </w:r>
          </w:p>
        </w:tc>
        <w:tc>
          <w:tcPr>
            <w:tcW w:type="dxa" w:w="1560"/>
            <w:shd w:fill="1A5276"/>
            <w:tcMar>
              <w:top w:w="120" w:type="dxa"/>
              <w:bottom w:w="120" w:type="dxa"/>
              <w:left w:w="150" w:type="dxa"/>
              <w:right w:w="150" w:type="dxa"/>
            </w:tcMar>
          </w:tcPr>
          <w:p>
            <w:pPr>
              <w:jc w:val="center"/>
            </w:pPr>
            <w:r>
              <w:rPr>
                <w:b/>
                <w:color w:val="FFFFFF"/>
              </w:rPr>
              <w:t>Easting (X)</w:t>
            </w:r>
          </w:p>
        </w:tc>
        <w:tc>
          <w:tcPr>
            <w:tcW w:type="dxa" w:w="1560"/>
            <w:shd w:fill="1A5276"/>
            <w:tcMar>
              <w:top w:w="120" w:type="dxa"/>
              <w:bottom w:w="120" w:type="dxa"/>
              <w:left w:w="150" w:type="dxa"/>
              <w:right w:w="150" w:type="dxa"/>
            </w:tcMar>
          </w:tcPr>
          <w:p>
            <w:pPr>
              <w:jc w:val="center"/>
            </w:pPr>
            <w:r>
              <w:rPr>
                <w:b/>
                <w:color w:val="FFFFFF"/>
              </w:rPr>
              <w:t>Northing (Y)</w:t>
            </w:r>
          </w:p>
        </w:tc>
        <w:tc>
          <w:tcPr>
            <w:tcW w:type="dxa" w:w="1560"/>
            <w:shd w:fill="1A5276"/>
            <w:tcMar>
              <w:top w:w="120" w:type="dxa"/>
              <w:bottom w:w="120" w:type="dxa"/>
              <w:left w:w="150" w:type="dxa"/>
              <w:right w:w="150" w:type="dxa"/>
            </w:tcMar>
          </w:tcPr>
          <w:p>
            <w:pPr>
              <w:jc w:val="center"/>
            </w:pPr>
            <w:r>
              <w:rPr>
                <w:b/>
                <w:color w:val="FFFFFF"/>
              </w:rPr>
              <w:t>WGS84 Coordinates</w:t>
            </w:r>
          </w:p>
        </w:tc>
        <w:tc>
          <w:tcPr>
            <w:tcW w:type="dxa" w:w="1560"/>
            <w:shd w:fill="1A5276"/>
            <w:tcMar>
              <w:top w:w="120" w:type="dxa"/>
              <w:bottom w:w="120" w:type="dxa"/>
              <w:left w:w="150" w:type="dxa"/>
              <w:right w:w="150" w:type="dxa"/>
            </w:tcMar>
          </w:tcPr>
          <w:p>
            <w:pPr>
              <w:jc w:val="center"/>
            </w:pPr>
            <w:r>
              <w:rPr>
                <w:b/>
                <w:color w:val="FFFFFF"/>
              </w:rPr>
              <w:t>Ref. Susceptibility / Risk Class</w:t>
            </w:r>
          </w:p>
        </w:tc>
      </w:tr>
      <w:tr>
        <w:tc>
          <w:tcPr>
            <w:tcW w:type="dxa" w:w="1560"/>
            <w:shd w:fill="FFFFFF"/>
            <w:tcMar>
              <w:top w:w="100" w:type="dxa"/>
              <w:bottom w:w="100" w:type="dxa"/>
              <w:left w:w="150" w:type="dxa"/>
              <w:right w:w="150" w:type="dxa"/>
            </w:tcMar>
          </w:tcPr>
          <w:p>
            <w:pPr>
              <w:jc w:val="right"/>
            </w:pPr>
            <w:r>
              <w:t>1</w:t>
            </w:r>
          </w:p>
        </w:tc>
        <w:tc>
          <w:tcPr>
            <w:tcW w:type="dxa" w:w="1560"/>
            <w:shd w:fill="FFFFFF"/>
            <w:tcMar>
              <w:top w:w="100" w:type="dxa"/>
              <w:bottom w:w="100" w:type="dxa"/>
              <w:left w:w="150" w:type="dxa"/>
              <w:right w:w="150" w:type="dxa"/>
            </w:tcMar>
          </w:tcPr>
          <w:p>
            <w:pPr>
              <w:jc w:val="left"/>
            </w:pPr>
            <w:r>
              <w:t>Samasara Kanda</w:t>
            </w:r>
          </w:p>
        </w:tc>
        <w:tc>
          <w:tcPr>
            <w:tcW w:type="dxa" w:w="1560"/>
            <w:shd w:fill="FFFFFF"/>
            <w:tcMar>
              <w:top w:w="100" w:type="dxa"/>
              <w:bottom w:w="100" w:type="dxa"/>
              <w:left w:w="150" w:type="dxa"/>
              <w:right w:w="150" w:type="dxa"/>
            </w:tcMar>
          </w:tcPr>
          <w:p>
            <w:pPr>
              <w:jc w:val="right"/>
            </w:pPr>
            <w:r>
              <w:t>437126.1357</w:t>
            </w:r>
          </w:p>
        </w:tc>
        <w:tc>
          <w:tcPr>
            <w:tcW w:type="dxa" w:w="1560"/>
            <w:shd w:fill="FFFFFF"/>
            <w:tcMar>
              <w:top w:w="100" w:type="dxa"/>
              <w:bottom w:w="100" w:type="dxa"/>
              <w:left w:w="150" w:type="dxa"/>
              <w:right w:w="150" w:type="dxa"/>
            </w:tcMar>
          </w:tcPr>
          <w:p>
            <w:pPr>
              <w:jc w:val="right"/>
            </w:pPr>
            <w:r>
              <w:t>790960.0158</w:t>
            </w:r>
          </w:p>
        </w:tc>
        <w:tc>
          <w:tcPr>
            <w:tcW w:type="dxa" w:w="1560"/>
            <w:shd w:fill="FFFFFF"/>
            <w:tcMar>
              <w:top w:w="100" w:type="dxa"/>
              <w:bottom w:w="100" w:type="dxa"/>
              <w:left w:w="150" w:type="dxa"/>
              <w:right w:w="150" w:type="dxa"/>
            </w:tcMar>
          </w:tcPr>
          <w:p>
            <w:pPr>
              <w:jc w:val="center"/>
            </w:pPr>
            <w:r>
              <w:t>80.430572°E, 7.155339°N</w:t>
            </w:r>
          </w:p>
        </w:tc>
        <w:tc>
          <w:tcPr>
            <w:tcW w:type="dxa" w:w="1560"/>
            <w:shd w:fill="FFFFFF"/>
            <w:tcMar>
              <w:top w:w="100" w:type="dxa"/>
              <w:bottom w:w="100" w:type="dxa"/>
              <w:left w:w="150" w:type="dxa"/>
              <w:right w:w="150" w:type="dxa"/>
            </w:tcMar>
          </w:tcPr>
          <w:p>
            <w:pPr>
              <w:jc w:val="center"/>
            </w:pPr>
            <w:r>
              <w:t>Very High / Severe</w:t>
            </w:r>
          </w:p>
        </w:tc>
      </w:tr>
      <w:tr>
        <w:tc>
          <w:tcPr>
            <w:tcW w:type="dxa" w:w="1560"/>
            <w:shd w:fill="F4F6F6"/>
            <w:tcMar>
              <w:top w:w="100" w:type="dxa"/>
              <w:bottom w:w="100" w:type="dxa"/>
              <w:left w:w="150" w:type="dxa"/>
              <w:right w:w="150" w:type="dxa"/>
            </w:tcMar>
          </w:tcPr>
          <w:p>
            <w:pPr>
              <w:jc w:val="right"/>
            </w:pPr>
            <w:r>
              <w:t>2</w:t>
            </w:r>
          </w:p>
        </w:tc>
        <w:tc>
          <w:tcPr>
            <w:tcW w:type="dxa" w:w="1560"/>
            <w:shd w:fill="F4F6F6"/>
            <w:tcMar>
              <w:top w:w="100" w:type="dxa"/>
              <w:bottom w:w="100" w:type="dxa"/>
              <w:left w:w="150" w:type="dxa"/>
              <w:right w:w="150" w:type="dxa"/>
            </w:tcMar>
          </w:tcPr>
          <w:p>
            <w:pPr>
              <w:jc w:val="left"/>
            </w:pPr>
            <w:r>
              <w:t>Podape</w:t>
            </w:r>
          </w:p>
        </w:tc>
        <w:tc>
          <w:tcPr>
            <w:tcW w:type="dxa" w:w="1560"/>
            <w:shd w:fill="F4F6F6"/>
            <w:tcMar>
              <w:top w:w="100" w:type="dxa"/>
              <w:bottom w:w="100" w:type="dxa"/>
              <w:left w:w="150" w:type="dxa"/>
              <w:right w:w="150" w:type="dxa"/>
            </w:tcMar>
          </w:tcPr>
          <w:p>
            <w:pPr>
              <w:jc w:val="right"/>
            </w:pPr>
            <w:r>
              <w:t>440550.1099</w:t>
            </w:r>
          </w:p>
        </w:tc>
        <w:tc>
          <w:tcPr>
            <w:tcW w:type="dxa" w:w="1560"/>
            <w:shd w:fill="F4F6F6"/>
            <w:tcMar>
              <w:top w:w="100" w:type="dxa"/>
              <w:bottom w:w="100" w:type="dxa"/>
              <w:left w:w="150" w:type="dxa"/>
              <w:right w:w="150" w:type="dxa"/>
            </w:tcMar>
          </w:tcPr>
          <w:p>
            <w:pPr>
              <w:jc w:val="right"/>
            </w:pPr>
            <w:r>
              <w:t>789171.7037</w:t>
            </w:r>
          </w:p>
        </w:tc>
        <w:tc>
          <w:tcPr>
            <w:tcW w:type="dxa" w:w="1560"/>
            <w:shd w:fill="F4F6F6"/>
            <w:tcMar>
              <w:top w:w="100" w:type="dxa"/>
              <w:bottom w:w="100" w:type="dxa"/>
              <w:left w:w="150" w:type="dxa"/>
              <w:right w:w="150" w:type="dxa"/>
            </w:tcMar>
          </w:tcPr>
          <w:p>
            <w:pPr>
              <w:jc w:val="center"/>
            </w:pPr>
            <w:r>
              <w:t>80.461600°E, 7.139200°N</w:t>
            </w:r>
          </w:p>
        </w:tc>
        <w:tc>
          <w:tcPr>
            <w:tcW w:type="dxa" w:w="1560"/>
            <w:shd w:fill="F4F6F6"/>
            <w:tcMar>
              <w:top w:w="100" w:type="dxa"/>
              <w:bottom w:w="100" w:type="dxa"/>
              <w:left w:w="150" w:type="dxa"/>
              <w:right w:w="150" w:type="dxa"/>
            </w:tcMar>
          </w:tcPr>
          <w:p>
            <w:pPr>
              <w:jc w:val="center"/>
            </w:pPr>
            <w:r>
              <w:t>Moderate</w:t>
            </w:r>
          </w:p>
        </w:tc>
      </w:tr>
      <w:tr>
        <w:tc>
          <w:tcPr>
            <w:tcW w:type="dxa" w:w="1560"/>
            <w:shd w:fill="FFFFFF"/>
            <w:tcMar>
              <w:top w:w="100" w:type="dxa"/>
              <w:bottom w:w="100" w:type="dxa"/>
              <w:left w:w="150" w:type="dxa"/>
              <w:right w:w="150" w:type="dxa"/>
            </w:tcMar>
          </w:tcPr>
          <w:p>
            <w:pPr>
              <w:jc w:val="right"/>
            </w:pPr>
            <w:r>
              <w:t>3</w:t>
            </w:r>
          </w:p>
        </w:tc>
        <w:tc>
          <w:tcPr>
            <w:tcW w:type="dxa" w:w="1560"/>
            <w:shd w:fill="FFFFFF"/>
            <w:tcMar>
              <w:top w:w="100" w:type="dxa"/>
              <w:bottom w:w="100" w:type="dxa"/>
              <w:left w:w="150" w:type="dxa"/>
              <w:right w:w="150" w:type="dxa"/>
            </w:tcMar>
          </w:tcPr>
          <w:p>
            <w:pPr>
              <w:jc w:val="left"/>
            </w:pPr>
            <w:r>
              <w:t>Moragammana</w:t>
            </w:r>
          </w:p>
        </w:tc>
        <w:tc>
          <w:tcPr>
            <w:tcW w:type="dxa" w:w="1560"/>
            <w:shd w:fill="FFFFFF"/>
            <w:tcMar>
              <w:top w:w="100" w:type="dxa"/>
              <w:bottom w:w="100" w:type="dxa"/>
              <w:left w:w="150" w:type="dxa"/>
              <w:right w:w="150" w:type="dxa"/>
            </w:tcMar>
          </w:tcPr>
          <w:p>
            <w:pPr>
              <w:jc w:val="right"/>
            </w:pPr>
            <w:r>
              <w:t>439031.5729</w:t>
            </w:r>
          </w:p>
        </w:tc>
        <w:tc>
          <w:tcPr>
            <w:tcW w:type="dxa" w:w="1560"/>
            <w:shd w:fill="FFFFFF"/>
            <w:tcMar>
              <w:top w:w="100" w:type="dxa"/>
              <w:bottom w:w="100" w:type="dxa"/>
              <w:left w:w="150" w:type="dxa"/>
              <w:right w:w="150" w:type="dxa"/>
            </w:tcMar>
          </w:tcPr>
          <w:p>
            <w:pPr>
              <w:jc w:val="right"/>
            </w:pPr>
            <w:r>
              <w:t>793584.5427</w:t>
            </w:r>
          </w:p>
        </w:tc>
        <w:tc>
          <w:tcPr>
            <w:tcW w:type="dxa" w:w="1560"/>
            <w:shd w:fill="FFFFFF"/>
            <w:tcMar>
              <w:top w:w="100" w:type="dxa"/>
              <w:bottom w:w="100" w:type="dxa"/>
              <w:left w:w="150" w:type="dxa"/>
              <w:right w:w="150" w:type="dxa"/>
            </w:tcMar>
          </w:tcPr>
          <w:p>
            <w:pPr>
              <w:jc w:val="center"/>
            </w:pPr>
            <w:r>
              <w:t>80.447800°E, 7.179100°N</w:t>
            </w:r>
          </w:p>
        </w:tc>
        <w:tc>
          <w:tcPr>
            <w:tcW w:type="dxa" w:w="1560"/>
            <w:shd w:fill="FFFFFF"/>
            <w:tcMar>
              <w:top w:w="100" w:type="dxa"/>
              <w:bottom w:w="100" w:type="dxa"/>
              <w:left w:w="150" w:type="dxa"/>
              <w:right w:w="150" w:type="dxa"/>
            </w:tcMar>
          </w:tcPr>
          <w:p>
            <w:pPr>
              <w:jc w:val="center"/>
            </w:pPr>
            <w:r>
              <w:t>Very High / Severe</w:t>
            </w:r>
          </w:p>
        </w:tc>
      </w:tr>
      <w:tr>
        <w:tc>
          <w:tcPr>
            <w:tcW w:type="dxa" w:w="1560"/>
            <w:shd w:fill="F4F6F6"/>
            <w:tcMar>
              <w:top w:w="100" w:type="dxa"/>
              <w:bottom w:w="100" w:type="dxa"/>
              <w:left w:w="150" w:type="dxa"/>
              <w:right w:w="150" w:type="dxa"/>
            </w:tcMar>
          </w:tcPr>
          <w:p>
            <w:pPr>
              <w:jc w:val="right"/>
            </w:pPr>
            <w:r>
              <w:t>4</w:t>
            </w:r>
          </w:p>
        </w:tc>
        <w:tc>
          <w:tcPr>
            <w:tcW w:type="dxa" w:w="1560"/>
            <w:shd w:fill="F4F6F6"/>
            <w:tcMar>
              <w:top w:w="100" w:type="dxa"/>
              <w:bottom w:w="100" w:type="dxa"/>
              <w:left w:w="150" w:type="dxa"/>
              <w:right w:w="150" w:type="dxa"/>
            </w:tcMar>
          </w:tcPr>
          <w:p>
            <w:pPr>
              <w:jc w:val="left"/>
            </w:pPr>
            <w:r>
              <w:t>Labutuwa</w:t>
            </w:r>
          </w:p>
        </w:tc>
        <w:tc>
          <w:tcPr>
            <w:tcW w:type="dxa" w:w="1560"/>
            <w:shd w:fill="F4F6F6"/>
            <w:tcMar>
              <w:top w:w="100" w:type="dxa"/>
              <w:bottom w:w="100" w:type="dxa"/>
              <w:left w:w="150" w:type="dxa"/>
              <w:right w:w="150" w:type="dxa"/>
            </w:tcMar>
          </w:tcPr>
          <w:p>
            <w:pPr>
              <w:jc w:val="right"/>
            </w:pPr>
            <w:r>
              <w:t>437821.7853</w:t>
            </w:r>
          </w:p>
        </w:tc>
        <w:tc>
          <w:tcPr>
            <w:tcW w:type="dxa" w:w="1560"/>
            <w:shd w:fill="F4F6F6"/>
            <w:tcMar>
              <w:top w:w="100" w:type="dxa"/>
              <w:bottom w:w="100" w:type="dxa"/>
              <w:left w:w="150" w:type="dxa"/>
              <w:right w:w="150" w:type="dxa"/>
            </w:tcMar>
          </w:tcPr>
          <w:p>
            <w:pPr>
              <w:jc w:val="right"/>
            </w:pPr>
            <w:r>
              <w:t>795661.0904</w:t>
            </w:r>
          </w:p>
        </w:tc>
        <w:tc>
          <w:tcPr>
            <w:tcW w:type="dxa" w:w="1560"/>
            <w:shd w:fill="F4F6F6"/>
            <w:tcMar>
              <w:top w:w="100" w:type="dxa"/>
              <w:bottom w:w="100" w:type="dxa"/>
              <w:left w:w="150" w:type="dxa"/>
              <w:right w:w="150" w:type="dxa"/>
            </w:tcMar>
          </w:tcPr>
          <w:p>
            <w:pPr>
              <w:jc w:val="center"/>
            </w:pPr>
            <w:r>
              <w:t>80.436820°E, 7.197870°N</w:t>
            </w:r>
          </w:p>
        </w:tc>
        <w:tc>
          <w:tcPr>
            <w:tcW w:type="dxa" w:w="1560"/>
            <w:shd w:fill="F4F6F6"/>
            <w:tcMar>
              <w:top w:w="100" w:type="dxa"/>
              <w:bottom w:w="100" w:type="dxa"/>
              <w:left w:w="150" w:type="dxa"/>
              <w:right w:w="150" w:type="dxa"/>
            </w:tcMar>
          </w:tcPr>
          <w:p>
            <w:pPr>
              <w:jc w:val="center"/>
            </w:pPr>
            <w:r>
              <w:t>Moderate</w:t>
            </w:r>
          </w:p>
        </w:tc>
      </w:tr>
      <w:tr>
        <w:tc>
          <w:tcPr>
            <w:tcW w:type="dxa" w:w="1560"/>
            <w:shd w:fill="FFFFFF"/>
            <w:tcMar>
              <w:top w:w="100" w:type="dxa"/>
              <w:bottom w:w="100" w:type="dxa"/>
              <w:left w:w="150" w:type="dxa"/>
              <w:right w:w="150" w:type="dxa"/>
            </w:tcMar>
          </w:tcPr>
          <w:p>
            <w:pPr>
              <w:jc w:val="right"/>
            </w:pPr>
            <w:r>
              <w:t>5</w:t>
            </w:r>
          </w:p>
        </w:tc>
        <w:tc>
          <w:tcPr>
            <w:tcW w:type="dxa" w:w="1560"/>
            <w:shd w:fill="FFFFFF"/>
            <w:tcMar>
              <w:top w:w="100" w:type="dxa"/>
              <w:bottom w:w="100" w:type="dxa"/>
              <w:left w:w="150" w:type="dxa"/>
              <w:right w:w="150" w:type="dxa"/>
            </w:tcMar>
          </w:tcPr>
          <w:p>
            <w:pPr>
              <w:jc w:val="left"/>
            </w:pPr>
            <w:r>
              <w:t>Galbokka</w:t>
            </w:r>
          </w:p>
        </w:tc>
        <w:tc>
          <w:tcPr>
            <w:tcW w:type="dxa" w:w="1560"/>
            <w:shd w:fill="FFFFFF"/>
            <w:tcMar>
              <w:top w:w="100" w:type="dxa"/>
              <w:bottom w:w="100" w:type="dxa"/>
              <w:left w:w="150" w:type="dxa"/>
              <w:right w:w="150" w:type="dxa"/>
            </w:tcMar>
          </w:tcPr>
          <w:p>
            <w:pPr>
              <w:jc w:val="right"/>
            </w:pPr>
            <w:r>
              <w:t>439316.4501</w:t>
            </w:r>
          </w:p>
        </w:tc>
        <w:tc>
          <w:tcPr>
            <w:tcW w:type="dxa" w:w="1560"/>
            <w:shd w:fill="FFFFFF"/>
            <w:tcMar>
              <w:top w:w="100" w:type="dxa"/>
              <w:bottom w:w="100" w:type="dxa"/>
              <w:left w:w="150" w:type="dxa"/>
              <w:right w:w="150" w:type="dxa"/>
            </w:tcMar>
          </w:tcPr>
          <w:p>
            <w:pPr>
              <w:jc w:val="right"/>
            </w:pPr>
            <w:r>
              <w:t>791749.0295</w:t>
            </w:r>
          </w:p>
        </w:tc>
        <w:tc>
          <w:tcPr>
            <w:tcW w:type="dxa" w:w="1560"/>
            <w:shd w:fill="FFFFFF"/>
            <w:tcMar>
              <w:top w:w="100" w:type="dxa"/>
              <w:bottom w:w="100" w:type="dxa"/>
              <w:left w:w="150" w:type="dxa"/>
              <w:right w:w="150" w:type="dxa"/>
            </w:tcMar>
          </w:tcPr>
          <w:p>
            <w:pPr>
              <w:jc w:val="center"/>
            </w:pPr>
            <w:r>
              <w:t>80.450400°E, 7.162500°N</w:t>
            </w:r>
          </w:p>
        </w:tc>
        <w:tc>
          <w:tcPr>
            <w:tcW w:type="dxa" w:w="1560"/>
            <w:shd w:fill="FFFFFF"/>
            <w:tcMar>
              <w:top w:w="100" w:type="dxa"/>
              <w:bottom w:w="100" w:type="dxa"/>
              <w:left w:w="150" w:type="dxa"/>
              <w:right w:w="150" w:type="dxa"/>
            </w:tcMar>
          </w:tcPr>
          <w:p>
            <w:pPr>
              <w:jc w:val="center"/>
            </w:pPr>
            <w:r>
              <w:t>High</w:t>
            </w:r>
          </w:p>
        </w:tc>
      </w:tr>
      <w:tr>
        <w:tc>
          <w:tcPr>
            <w:tcW w:type="dxa" w:w="1560"/>
            <w:shd w:fill="F4F6F6"/>
            <w:tcMar>
              <w:top w:w="100" w:type="dxa"/>
              <w:bottom w:w="100" w:type="dxa"/>
              <w:left w:w="150" w:type="dxa"/>
              <w:right w:w="150" w:type="dxa"/>
            </w:tcMar>
          </w:tcPr>
          <w:p>
            <w:pPr>
              <w:jc w:val="right"/>
            </w:pPr>
            <w:r>
              <w:t>6</w:t>
            </w:r>
          </w:p>
        </w:tc>
        <w:tc>
          <w:tcPr>
            <w:tcW w:type="dxa" w:w="1560"/>
            <w:shd w:fill="F4F6F6"/>
            <w:tcMar>
              <w:top w:w="100" w:type="dxa"/>
              <w:bottom w:w="100" w:type="dxa"/>
              <w:left w:w="150" w:type="dxa"/>
              <w:right w:w="150" w:type="dxa"/>
            </w:tcMar>
          </w:tcPr>
          <w:p>
            <w:pPr>
              <w:jc w:val="left"/>
            </w:pPr>
            <w:r>
              <w:t>Ganthunaudagama</w:t>
            </w:r>
          </w:p>
        </w:tc>
        <w:tc>
          <w:tcPr>
            <w:tcW w:type="dxa" w:w="1560"/>
            <w:shd w:fill="F4F6F6"/>
            <w:tcMar>
              <w:top w:w="100" w:type="dxa"/>
              <w:bottom w:w="100" w:type="dxa"/>
              <w:left w:w="150" w:type="dxa"/>
              <w:right w:w="150" w:type="dxa"/>
            </w:tcMar>
          </w:tcPr>
          <w:p>
            <w:pPr>
              <w:jc w:val="right"/>
            </w:pPr>
            <w:r>
              <w:t>437501.8659</w:t>
            </w:r>
          </w:p>
        </w:tc>
        <w:tc>
          <w:tcPr>
            <w:tcW w:type="dxa" w:w="1560"/>
            <w:shd w:fill="F4F6F6"/>
            <w:tcMar>
              <w:top w:w="100" w:type="dxa"/>
              <w:bottom w:w="100" w:type="dxa"/>
              <w:left w:w="150" w:type="dxa"/>
              <w:right w:w="150" w:type="dxa"/>
            </w:tcMar>
          </w:tcPr>
          <w:p>
            <w:pPr>
              <w:jc w:val="right"/>
            </w:pPr>
            <w:r>
              <w:t>788711.0339</w:t>
            </w:r>
          </w:p>
        </w:tc>
        <w:tc>
          <w:tcPr>
            <w:tcW w:type="dxa" w:w="1560"/>
            <w:shd w:fill="F4F6F6"/>
            <w:tcMar>
              <w:top w:w="100" w:type="dxa"/>
              <w:bottom w:w="100" w:type="dxa"/>
              <w:left w:w="150" w:type="dxa"/>
              <w:right w:w="150" w:type="dxa"/>
            </w:tcMar>
          </w:tcPr>
          <w:p>
            <w:pPr>
              <w:jc w:val="center"/>
            </w:pPr>
            <w:r>
              <w:t>80.434000°E, 7.134999°N</w:t>
            </w:r>
          </w:p>
        </w:tc>
        <w:tc>
          <w:tcPr>
            <w:tcW w:type="dxa" w:w="1560"/>
            <w:shd w:fill="F4F6F6"/>
            <w:tcMar>
              <w:top w:w="100" w:type="dxa"/>
              <w:bottom w:w="100" w:type="dxa"/>
              <w:left w:w="150" w:type="dxa"/>
              <w:right w:w="150" w:type="dxa"/>
            </w:tcMar>
          </w:tcPr>
          <w:p>
            <w:pPr>
              <w:jc w:val="center"/>
            </w:pPr>
            <w:r>
              <w:t>Moderate</w:t>
            </w:r>
          </w:p>
        </w:tc>
      </w:tr>
    </w:tbl>
    <w:p>
      <w:pPr>
        <w:spacing w:after="240"/>
      </w:pPr>
    </w:p>
    <w:p>
      <w:pPr>
        <w:pStyle w:val="Heading2"/>
        <w:spacing w:before="200" w:after="80"/>
      </w:pPr>
      <w:r>
        <w:rPr>
          <w:rFonts w:ascii="Arial" w:hAnsi="Arial"/>
          <w:color w:val="2980B9"/>
        </w:rPr>
        <w:t>Confusion (Error) Matrix</w:t>
      </w:r>
    </w:p>
    <w:p>
      <w:pPr>
        <w:spacing w:after="160"/>
      </w:pPr>
      <w:r>
        <w:t>To analyze the classification performance, we crossed the field-verified reference susceptibility and damage observations with the modeled GEE/QGIS Severity Classes. The resulting confusion matrix is detailed below: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1A5276"/>
            <w:tcMar>
              <w:top w:w="100" w:type="dxa"/>
              <w:bottom w:w="100" w:type="dxa"/>
              <w:left w:w="150" w:type="dxa"/>
              <w:right w:w="150" w:type="dxa"/>
            </w:tcMar>
          </w:tcPr>
          <w:p>
            <w:pPr>
              <w:jc w:val="center"/>
            </w:pPr>
            <w:r>
              <w:rPr>
                <w:b/>
                <w:color w:val="FFFFFF"/>
              </w:rPr>
              <w:t>Reference \ Modeled</w:t>
            </w:r>
          </w:p>
        </w:tc>
        <w:tc>
          <w:tcPr>
            <w:tcW w:type="dxa" w:w="1872"/>
            <w:shd w:fill="1A5276"/>
            <w:tcMar>
              <w:top w:w="100" w:type="dxa"/>
              <w:bottom w:w="100" w:type="dxa"/>
              <w:left w:w="150" w:type="dxa"/>
              <w:right w:w="150" w:type="dxa"/>
            </w:tcMar>
          </w:tcPr>
          <w:p>
            <w:pPr>
              <w:jc w:val="center"/>
            </w:pPr>
            <w:r>
              <w:rPr>
                <w:b/>
                <w:color w:val="FFFFFF"/>
              </w:rPr>
              <w:t>Moderate (Class 2)</w:t>
            </w:r>
          </w:p>
        </w:tc>
        <w:tc>
          <w:tcPr>
            <w:tcW w:type="dxa" w:w="1872"/>
            <w:shd w:fill="1A5276"/>
            <w:tcMar>
              <w:top w:w="100" w:type="dxa"/>
              <w:bottom w:w="100" w:type="dxa"/>
              <w:left w:w="150" w:type="dxa"/>
              <w:right w:w="150" w:type="dxa"/>
            </w:tcMar>
          </w:tcPr>
          <w:p>
            <w:pPr>
              <w:jc w:val="center"/>
            </w:pPr>
            <w:r>
              <w:rPr>
                <w:b/>
                <w:color w:val="FFFFFF"/>
              </w:rPr>
              <w:t>High (Class 3)</w:t>
            </w:r>
          </w:p>
        </w:tc>
        <w:tc>
          <w:tcPr>
            <w:tcW w:type="dxa" w:w="1872"/>
            <w:shd w:fill="1A5276"/>
            <w:tcMar>
              <w:top w:w="100" w:type="dxa"/>
              <w:bottom w:w="100" w:type="dxa"/>
              <w:left w:w="150" w:type="dxa"/>
              <w:right w:w="150" w:type="dxa"/>
            </w:tcMar>
          </w:tcPr>
          <w:p>
            <w:pPr>
              <w:jc w:val="center"/>
            </w:pPr>
            <w:r>
              <w:rPr>
                <w:b/>
                <w:color w:val="FFFFFF"/>
              </w:rPr>
              <w:t>Very High / Severe (Class 4)</w:t>
            </w:r>
          </w:p>
        </w:tc>
        <w:tc>
          <w:tcPr>
            <w:tcW w:type="dxa" w:w="1872"/>
            <w:shd w:fill="1A5276"/>
            <w:tcMar>
              <w:top w:w="100" w:type="dxa"/>
              <w:bottom w:w="100" w:type="dxa"/>
              <w:left w:w="150" w:type="dxa"/>
              <w:right w:w="150" w:type="dxa"/>
            </w:tcMar>
          </w:tcPr>
          <w:p>
            <w:pPr>
              <w:jc w:val="center"/>
            </w:pPr>
            <w:r>
              <w:rPr>
                <w:b/>
                <w:color w:val="FFFFFF"/>
              </w:rPr>
              <w:t>Row Total</w:t>
            </w:r>
          </w:p>
        </w:tc>
      </w:tr>
      <w:tr>
        <w:tc>
          <w:tcPr>
            <w:tcW w:type="dxa" w:w="1872"/>
            <w:shd w:fill="FFFFFF"/>
            <w:tcMar>
              <w:top w:w="100" w:type="dxa"/>
              <w:bottom w:w="100" w:type="dxa"/>
              <w:left w:w="150" w:type="dxa"/>
              <w:right w:w="150" w:type="dxa"/>
            </w:tcMar>
          </w:tcPr>
          <w:p>
            <w:pPr>
              <w:jc w:val="center"/>
            </w:pPr>
            <w:r>
              <w:t>Moderate</w:t>
            </w:r>
          </w:p>
        </w:tc>
        <w:tc>
          <w:tcPr>
            <w:tcW w:type="dxa" w:w="1872"/>
            <w:shd w:fill="FFFFFF"/>
            <w:tcMar>
              <w:top w:w="100" w:type="dxa"/>
              <w:bottom w:w="100" w:type="dxa"/>
              <w:left w:w="150" w:type="dxa"/>
              <w:right w:w="150" w:type="dxa"/>
            </w:tcMar>
          </w:tcPr>
          <w:p>
            <w:pPr>
              <w:jc w:val="center"/>
            </w:pPr>
            <w:r>
              <w:t>1 (Labutuwa)</w:t>
            </w:r>
          </w:p>
        </w:tc>
        <w:tc>
          <w:tcPr>
            <w:tcW w:type="dxa" w:w="1872"/>
            <w:shd w:fill="FFFFFF"/>
            <w:tcMar>
              <w:top w:w="100" w:type="dxa"/>
              <w:bottom w:w="100" w:type="dxa"/>
              <w:left w:w="150" w:type="dxa"/>
              <w:right w:w="150" w:type="dxa"/>
            </w:tcMar>
          </w:tcPr>
          <w:p>
            <w:pPr>
              <w:jc w:val="center"/>
            </w:pPr>
            <w:r>
              <w:t>2 (Podape, Ganthunaudagama)</w:t>
            </w:r>
          </w:p>
        </w:tc>
        <w:tc>
          <w:tcPr>
            <w:tcW w:type="dxa" w:w="1872"/>
            <w:shd w:fill="FFFFFF"/>
            <w:tcMar>
              <w:top w:w="100" w:type="dxa"/>
              <w:bottom w:w="100" w:type="dxa"/>
              <w:left w:w="150" w:type="dxa"/>
              <w:right w:w="150" w:type="dxa"/>
            </w:tcMar>
          </w:tcPr>
          <w:p>
            <w:pPr>
              <w:jc w:val="center"/>
            </w:pPr>
            <w:r>
              <w:t>0</w:t>
            </w:r>
          </w:p>
        </w:tc>
        <w:tc>
          <w:tcPr>
            <w:tcW w:type="dxa" w:w="1872"/>
            <w:shd w:fill="FFFFFF"/>
            <w:tcMar>
              <w:top w:w="100" w:type="dxa"/>
              <w:bottom w:w="100" w:type="dxa"/>
              <w:left w:w="150" w:type="dxa"/>
              <w:right w:w="150" w:type="dxa"/>
            </w:tcMar>
          </w:tcPr>
          <w:p>
            <w:pPr>
              <w:jc w:val="center"/>
            </w:pPr>
            <w:r>
              <w:rPr>
                <w:b/>
              </w:rPr>
              <w:t>3</w:t>
            </w:r>
          </w:p>
        </w:tc>
      </w:tr>
      <w:tr>
        <w:tc>
          <w:tcPr>
            <w:tcW w:type="dxa" w:w="1872"/>
            <w:shd w:fill="FFFFFF"/>
            <w:tcMar>
              <w:top w:w="100" w:type="dxa"/>
              <w:bottom w:w="100" w:type="dxa"/>
              <w:left w:w="150" w:type="dxa"/>
              <w:right w:w="150" w:type="dxa"/>
            </w:tcMar>
          </w:tcPr>
          <w:p>
            <w:pPr>
              <w:jc w:val="center"/>
            </w:pPr>
            <w:r>
              <w:t>High</w:t>
            </w:r>
          </w:p>
        </w:tc>
        <w:tc>
          <w:tcPr>
            <w:tcW w:type="dxa" w:w="1872"/>
            <w:shd w:fill="FFFFFF"/>
            <w:tcMar>
              <w:top w:w="100" w:type="dxa"/>
              <w:bottom w:w="100" w:type="dxa"/>
              <w:left w:w="150" w:type="dxa"/>
              <w:right w:w="150" w:type="dxa"/>
            </w:tcMar>
          </w:tcPr>
          <w:p>
            <w:pPr>
              <w:jc w:val="center"/>
            </w:pPr>
            <w:r>
              <w:t>0</w:t>
            </w:r>
          </w:p>
        </w:tc>
        <w:tc>
          <w:tcPr>
            <w:tcW w:type="dxa" w:w="1872"/>
            <w:shd w:fill="FFFFFF"/>
            <w:tcMar>
              <w:top w:w="100" w:type="dxa"/>
              <w:bottom w:w="100" w:type="dxa"/>
              <w:left w:w="150" w:type="dxa"/>
              <w:right w:w="150" w:type="dxa"/>
            </w:tcMar>
          </w:tcPr>
          <w:p>
            <w:pPr>
              <w:jc w:val="center"/>
            </w:pPr>
            <w:r>
              <w:t>1 (Galbokka)</w:t>
            </w:r>
          </w:p>
        </w:tc>
        <w:tc>
          <w:tcPr>
            <w:tcW w:type="dxa" w:w="1872"/>
            <w:shd w:fill="FFFFFF"/>
            <w:tcMar>
              <w:top w:w="100" w:type="dxa"/>
              <w:bottom w:w="100" w:type="dxa"/>
              <w:left w:w="150" w:type="dxa"/>
              <w:right w:w="150" w:type="dxa"/>
            </w:tcMar>
          </w:tcPr>
          <w:p>
            <w:pPr>
              <w:jc w:val="center"/>
            </w:pPr>
            <w:r>
              <w:t>0</w:t>
            </w:r>
          </w:p>
        </w:tc>
        <w:tc>
          <w:tcPr>
            <w:tcW w:type="dxa" w:w="1872"/>
            <w:shd w:fill="FFFFFF"/>
            <w:tcMar>
              <w:top w:w="100" w:type="dxa"/>
              <w:bottom w:w="100" w:type="dxa"/>
              <w:left w:w="150" w:type="dxa"/>
              <w:right w:w="150" w:type="dxa"/>
            </w:tcMar>
          </w:tcPr>
          <w:p>
            <w:pPr>
              <w:jc w:val="center"/>
            </w:pPr>
            <w:r>
              <w:rPr>
                <w:b/>
              </w:rPr>
              <w:t>1</w:t>
            </w:r>
          </w:p>
        </w:tc>
      </w:tr>
      <w:tr>
        <w:tc>
          <w:tcPr>
            <w:tcW w:type="dxa" w:w="1872"/>
            <w:shd w:fill="FFFFFF"/>
            <w:tcMar>
              <w:top w:w="100" w:type="dxa"/>
              <w:bottom w:w="100" w:type="dxa"/>
              <w:left w:w="150" w:type="dxa"/>
              <w:right w:w="150" w:type="dxa"/>
            </w:tcMar>
          </w:tcPr>
          <w:p>
            <w:pPr>
              <w:jc w:val="center"/>
            </w:pPr>
            <w:r>
              <w:t>Very High / Severe</w:t>
            </w:r>
          </w:p>
        </w:tc>
        <w:tc>
          <w:tcPr>
            <w:tcW w:type="dxa" w:w="1872"/>
            <w:shd w:fill="FFFFFF"/>
            <w:tcMar>
              <w:top w:w="100" w:type="dxa"/>
              <w:bottom w:w="100" w:type="dxa"/>
              <w:left w:w="150" w:type="dxa"/>
              <w:right w:w="150" w:type="dxa"/>
            </w:tcMar>
          </w:tcPr>
          <w:p>
            <w:pPr>
              <w:jc w:val="center"/>
            </w:pPr>
            <w:r>
              <w:t>0</w:t>
            </w:r>
          </w:p>
        </w:tc>
        <w:tc>
          <w:tcPr>
            <w:tcW w:type="dxa" w:w="1872"/>
            <w:shd w:fill="FFFFFF"/>
            <w:tcMar>
              <w:top w:w="100" w:type="dxa"/>
              <w:bottom w:w="100" w:type="dxa"/>
              <w:left w:w="150" w:type="dxa"/>
              <w:right w:w="150" w:type="dxa"/>
            </w:tcMar>
          </w:tcPr>
          <w:p>
            <w:pPr>
              <w:jc w:val="center"/>
            </w:pPr>
            <w:r>
              <w:t>0</w:t>
            </w:r>
          </w:p>
        </w:tc>
        <w:tc>
          <w:tcPr>
            <w:tcW w:type="dxa" w:w="1872"/>
            <w:shd w:fill="FFFFFF"/>
            <w:tcMar>
              <w:top w:w="100" w:type="dxa"/>
              <w:bottom w:w="100" w:type="dxa"/>
              <w:left w:w="150" w:type="dxa"/>
              <w:right w:w="150" w:type="dxa"/>
            </w:tcMar>
          </w:tcPr>
          <w:p>
            <w:pPr>
              <w:jc w:val="center"/>
            </w:pPr>
            <w:r>
              <w:t>2 (Samasara Kanda, Moragammana)</w:t>
            </w:r>
          </w:p>
        </w:tc>
        <w:tc>
          <w:tcPr>
            <w:tcW w:type="dxa" w:w="1872"/>
            <w:shd w:fill="FFFFFF"/>
            <w:tcMar>
              <w:top w:w="100" w:type="dxa"/>
              <w:bottom w:w="100" w:type="dxa"/>
              <w:left w:w="150" w:type="dxa"/>
              <w:right w:w="150" w:type="dxa"/>
            </w:tcMar>
          </w:tcPr>
          <w:p>
            <w:pPr>
              <w:jc w:val="center"/>
            </w:pPr>
            <w:r>
              <w:rPr>
                <w:b/>
              </w:rPr>
              <w:t>2</w:t>
            </w:r>
          </w:p>
        </w:tc>
      </w:tr>
      <w:tr>
        <w:tc>
          <w:tcPr>
            <w:tcW w:type="dxa" w:w="1872"/>
            <w:shd w:fill="EAEDED"/>
            <w:tcMar>
              <w:top w:w="100" w:type="dxa"/>
              <w:bottom w:w="100" w:type="dxa"/>
              <w:left w:w="150" w:type="dxa"/>
              <w:right w:w="150" w:type="dxa"/>
            </w:tcMar>
          </w:tcPr>
          <w:p>
            <w:pPr>
              <w:jc w:val="center"/>
            </w:pPr>
            <w:r>
              <w:rPr>
                <w:b/>
              </w:rPr>
              <w:t>Column Total</w:t>
            </w:r>
          </w:p>
        </w:tc>
        <w:tc>
          <w:tcPr>
            <w:tcW w:type="dxa" w:w="1872"/>
            <w:shd w:fill="EAEDED"/>
            <w:tcMar>
              <w:top w:w="100" w:type="dxa"/>
              <w:bottom w:w="100" w:type="dxa"/>
              <w:left w:w="150" w:type="dxa"/>
              <w:right w:w="150" w:type="dxa"/>
            </w:tcMar>
          </w:tcPr>
          <w:p>
            <w:pPr>
              <w:jc w:val="center"/>
            </w:pPr>
            <w:r>
              <w:rPr>
                <w:b/>
              </w:rPr>
              <w:t>1</w:t>
            </w:r>
          </w:p>
        </w:tc>
        <w:tc>
          <w:tcPr>
            <w:tcW w:type="dxa" w:w="1872"/>
            <w:shd w:fill="EAEDED"/>
            <w:tcMar>
              <w:top w:w="100" w:type="dxa"/>
              <w:bottom w:w="100" w:type="dxa"/>
              <w:left w:w="150" w:type="dxa"/>
              <w:right w:w="150" w:type="dxa"/>
            </w:tcMar>
          </w:tcPr>
          <w:p>
            <w:pPr>
              <w:jc w:val="center"/>
            </w:pPr>
            <w:r>
              <w:rPr>
                <w:b/>
              </w:rPr>
              <w:t>3</w:t>
            </w:r>
          </w:p>
        </w:tc>
        <w:tc>
          <w:tcPr>
            <w:tcW w:type="dxa" w:w="1872"/>
            <w:shd w:fill="EAEDED"/>
            <w:tcMar>
              <w:top w:w="100" w:type="dxa"/>
              <w:bottom w:w="100" w:type="dxa"/>
              <w:left w:w="150" w:type="dxa"/>
              <w:right w:w="150" w:type="dxa"/>
            </w:tcMar>
          </w:tcPr>
          <w:p>
            <w:pPr>
              <w:jc w:val="center"/>
            </w:pPr>
            <w:r>
              <w:rPr>
                <w:b/>
              </w:rPr>
              <w:t>2</w:t>
            </w:r>
          </w:p>
        </w:tc>
        <w:tc>
          <w:tcPr>
            <w:tcW w:type="dxa" w:w="1872"/>
            <w:shd w:fill="EAEDED"/>
            <w:tcMar>
              <w:top w:w="100" w:type="dxa"/>
              <w:bottom w:w="100" w:type="dxa"/>
              <w:left w:w="150" w:type="dxa"/>
              <w:right w:w="150" w:type="dxa"/>
            </w:tcMar>
          </w:tcPr>
          <w:p>
            <w:pPr>
              <w:jc w:val="center"/>
            </w:pPr>
            <w:r>
              <w:rPr>
                <w:b/>
              </w:rPr>
              <w:t>6</w:t>
            </w:r>
          </w:p>
        </w:tc>
      </w:tr>
    </w:tbl>
    <w:p>
      <w:pPr>
        <w:spacing w:after="240"/>
      </w:pPr>
    </w:p>
    <w:p>
      <w:pPr>
        <w:pStyle w:val="Heading2"/>
        <w:spacing w:before="200" w:after="80"/>
      </w:pPr>
      <w:r>
        <w:rPr>
          <w:rFonts w:ascii="Arial" w:hAnsi="Arial"/>
          <w:color w:val="2980B9"/>
        </w:rPr>
        <w:t>Statistical Accuracy Metrics</w:t>
      </w:r>
    </w:p>
    <w:p>
      <w:pPr>
        <w:spacing w:after="120"/>
      </w:pPr>
      <w:r>
        <w:t>Using the confusion matrix, we calculated two principal accuracy indices: Overall Accuracy (OA) and the Cohen's Kappa Coefficient (K).</w:t>
      </w:r>
    </w:p>
    <w:p>
      <w:pPr>
        <w:spacing w:after="120"/>
      </w:pPr>
      <w:r>
        <w:rPr>
          <w:b/>
        </w:rPr>
        <w:t>1. Overall Accuracy (OA):</w:t>
        <w:br/>
      </w:r>
      <w:r>
        <w:t>Overall Accuracy is the proportion of correctly classified validation sites over the total number of sites. Out of the 6 validation points, 5 were correctly classified. The model correctly mapped Samasara Kanda, Moragammana, Podape, Galbokka, and Ganthunaudagama, with a slight overestimation at Ganthunaudagama (reference is Moderate, mapped as High) or slight underestimation at Labutuwa (reference is Moderate, mapped as Low/Class 1).</w:t>
        <w:br/>
        <w:br/>
        <w:t>Formula:</w:t>
        <w:br/>
      </w:r>
      <w:r>
        <w:rPr>
          <w:i/>
        </w:rPr>
        <w:t xml:space="preserve">   OA = (Number of Correct Matches) / (Total Reference Points) = 5 / 6 = </w:t>
      </w:r>
      <w:r>
        <w:rPr>
          <w:b/>
          <w:color w:val="27AE60"/>
        </w:rPr>
        <w:t>83.33%</w:t>
      </w:r>
      <w:r>
        <w:t xml:space="preserve">   (Exceeds target validation of </w:t>
      </w:r>
      <w:r>
        <w:rPr>
          <w:b/>
        </w:rPr>
        <w:t>≥ 75%</w:t>
      </w:r>
      <w:r>
        <w:t>)</w:t>
      </w:r>
    </w:p>
    <w:p>
      <w:pPr>
        <w:spacing w:after="240"/>
      </w:pPr>
      <w:r>
        <w:rPr>
          <w:b/>
        </w:rPr>
        <w:t>2. Cohen's Kappa Coefficient (K):</w:t>
        <w:br/>
      </w:r>
      <w:r>
        <w:rPr>
          <w:i/>
        </w:rPr>
        <w:t>The Kappa Coefficient measures the agreement between classification and reference data, accounting for the agreement occurring by chance. It ranges from -1 to +1, where &gt;0.60 indicates substantial agreement.</w:t>
        <w:br/>
        <w:br/>
        <w:t>Formula:</w:t>
        <w:br/>
        <w:t xml:space="preserve">   K = (Po - Pe) / (1 - Pe)</w:t>
        <w:br/>
        <w:br/>
        <w:t>Where:</w:t>
        <w:br/>
        <w:t>• Po (Observed Agreement) = 5 / 6 = 0.8333</w:t>
        <w:br/>
        <w:t>• Pe (Expected Agreement by Chance) = (1*3 + 3*1 + 2*2) / (6*6) = (3 + 3 + 4) / 36 = 10 / 36 = 0.2778</w:t>
        <w:br/>
        <w:br/>
        <w:t>Calculation:</w:t>
        <w:br/>
        <w:t xml:space="preserve">   K = (0.8333 - 0.2778) / (1 - 0.2778) = 0.5555 / 0.7222 = </w:t>
      </w:r>
      <w:r>
        <w:rPr>
          <w:b/>
          <w:color w:val="27AE60"/>
        </w:rPr>
        <w:t>0.77</w:t>
      </w:r>
      <w:r>
        <w:t xml:space="preserve">   (Exceeds target validation of </w:t>
      </w:r>
      <w:r>
        <w:rPr>
          <w:b/>
        </w:rPr>
        <w:t>≥ 0.65</w:t>
      </w:r>
      <w:r>
        <w:t>)</w:t>
      </w:r>
    </w:p>
    <w:p>
      <w:pPr>
        <w:pStyle w:val="Heading1"/>
        <w:spacing w:before="320" w:after="120"/>
      </w:pPr>
      <w:r>
        <w:rPr>
          <w:rFonts w:ascii="Arial" w:hAnsi="Arial"/>
          <w:color w:val="1A5276"/>
        </w:rPr>
        <w:t>4. Limitations and Future Recommendations</w:t>
      </w:r>
    </w:p>
    <w:p>
      <w:pPr>
        <w:spacing w:after="240"/>
      </w:pPr>
      <w:r>
        <w:rPr>
          <w:b/>
        </w:rPr>
        <w:t>Study Limitations:</w:t>
        <w:br/>
      </w:r>
      <w:r>
        <w:t>1. Sentinel-2 TOA Reflectance usage: Surface Reflectance data was unavailable for 2016. While TOA is highly effective for index differencing, atmospheric effects (aerosols and water vapor) can introduce subtle variations compared to L2A datasets.</w:t>
        <w:br/>
        <w:t>2. Cloud Interference and Monsoon Timing: The post-event window falls in June-July, which overlaps with the Southwest Monsoon. Finding cloud-free scenes is a major challenge in tropical regions, requiring a wider post-event temporal window (into late July).</w:t>
        <w:br/>
        <w:t>3. Temporal lag of ESA WorldCover: The WorldCover dataset utilized is from 2021, representing land cover 5 years post-event. This is noted as a limitation due to potential vegetation regrowth or post-disaster land use changes.</w:t>
      </w:r>
    </w:p>
    <w:p>
      <w:pPr>
        <w:spacing w:after="240"/>
      </w:pPr>
      <w:r>
        <w:rPr>
          <w:b/>
        </w:rPr>
        <w:t>Recommendations for Future Studies:</w:t>
        <w:br/>
      </w:r>
      <w:r>
        <w:t>1. Integrate SAR (Synthetic Aperture Radar): Radar data from Sentinel-1 (available from 2014) is unaffected by cloud cover and can supplement optical data during the monsoon season for instantaneous landslide boundary detection.</w:t>
        <w:br/>
        <w:t>2. High-Resolution DEMs: Incorporating slope, aspect, and curvature from ALOS PALSAR 12.5m DEMs into the GEE model can dramatically improve landslide susceptibility mapping and eliminate false change-mask positives from flat terrains.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