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Results</w:t>
      </w:r>
    </w:p>
    <w:p>
      <w:r>
        <w:t>Dual Pipeline Retrieval Augmented Generation for Construction Contract Interpretation</w:t>
      </w:r>
    </w:p>
    <w:p>
      <w:r>
        <w:t>This supplement documents our feature implementation, calibration, primary evaluation and completed supplementary rerun. Tables S1–S5 retain the primary benchmark analyses; Tables S6–S9 provide the new paired comparisons, OCR ablation and audit trail. Evaluator 1 and Evaluator 2 identify the two independent supplementary answer raters according to the completed rerun folders. The OCR reference verifier is identified separately by role; primary expert codes remain local to the original study.</w:t>
      </w:r>
    </w:p>
    <w:p>
      <w:pPr>
        <w:pStyle w:val="Heading1"/>
      </w:pPr>
      <w:r>
        <w:t>S1 Feature implementation and calibration</w:t>
      </w:r>
    </w:p>
    <w:p>
      <w:r>
        <w:t xml:space="preserve">Notation. Q denotes a query. D denotes the reference corpus used to estimate lexical probabilities; a fixed calibration corpus must be distinguished from the serving corpus used for retrieval. T(Q) is the set of distinct content terms returned by preprocessing, and |T(Q)| counts those distinct terms. The scalar coefficients α₁–α₅ weight the five components; β₁–β₄ and γ₁–γ₂ are fixed operator and domain subweights, respectively. τ denotes the routing threshold. The lexical feature is denoted Rare(Q,D), replacing the earlier Amb(Q,D) terminology without changing the numerical formula. Inverse document frequency (IDF) describes document-occurrence rarity and is not interchangeable with token-frequency surprisal. The archived calibration and serving databases are separate; a document present in a folder is not necessarily represented in the saved retrieval index.</w:t>
      </w:r>
    </w:p>
    <w:p>
      <w:r>
        <w:t>Term count is the number of distinct content terms in T(Q). Our tokenizer lowercases text, replaces punctuation other than the slash with spaces, collapses whitespace, removes a fixed stop-word list and tokens of length one or less, and retains each remaining term once. It does not stem or lemmatize terms. This treatment can split decimal clause references and remove single-character numerals. Operator counts are computed separately on the normalized query before stop-word filtering. The implementation therefore differs from a count of all token occurrences; the feature definition and worked calculations must use the same tokenizer (Carmel and Yom-Tov, 2010).</w:t>
      </w:r>
    </w:p>
    <w:p>
      <w:r>
        <w:t>Conjunctions and negations are counted in the normalized query before stop-word filtering. The code counts “and”, “or”, “not”, “no” and “without”; “and/or” contributes to both conjunction and disjunction counts. JOIN counts occurrences of “relating to”, “with respect to”, “in relation to”, “as well as”, “together with” and “in accordance with”. All four subweights equal 1.0. These are lexical rules; they do not perform syntactic detection of every coordinated clause. The score is an engineered predictor and does not directly measure computational or interpretive difficulty (Chandra and Merlin, 1977; Carmel and Yom-Tov, 2010).</w:t>
      </w:r>
    </w:p>
    <w:p>
      <w:r>
        <w:t>The implemented reasoning-depth proxy sums scenario segments, reasoning-cue occurrences, distinct actor-lexicon matches and an optional dependency-parse depth. Scenario segments are obtained by splitting at the implemented sentence and semicolon patterns, with a minimum of one. The reasoning-cue list is “explain”, “assess”, “determine”, “walk through”, “identify”, “analyse”, “analyze”, “evaluate”, “implication”, “consequence”, “remed”, “step”, “procedure”, “whether”, “entitled”, “valid”, “liable”, “obligation”, “what happens”, “how should”, “extent” and “rights”. Matching uses substrings in the raw lowercased query. Actor matching also uses substrings and has a minimum contribution of one even when no actor is found. Thus, the lexical proxy has a minimum of two before optional parse depth. It should not be interpreted as an exact count of independent actors or logical reasoning steps. The historical 1/2 depth values and earlier conditional-cue descriptions are a different feature version. An offline reproduction with parse depth disabled and lexical rarity mode enabled exactly reproduces the stored fitted coefficients and all 30 rounded evaluation scores. These explicit settings are used for the worked examples.</w:t>
      </w:r>
    </w:p>
    <w:p>
      <w:r>
        <w:t>The implementation uses natural logarithms. During ingestion, each distinct retained term contributes once per overlapping text chunk; c(t) counts chunks containing t, and M is the sum of these term–chunk incidences. The stored lexical value is −ln[c(t)/M], rounded to four decimal places. An unseen term receives −ln[1/(M+V)], where V is the vocabulary size. Our Source A statistics contain M = 5,575 and V = 2,206, with an unseen-term value of 8.9594. The query score averages these values over distinct content terms. This is a corpus-dependent lexical-rarity statistic, not conventional document IDF, raw-token surprisal, or semantic ambiguity. Common terms give lower values. Chunk size, overlap and tokenization affect the statistic. No semantic-clarity retrieval mode is used in the reproduced configuration.</w:t>
      </w:r>
    </w:p>
    <w:p>
      <w:r>
        <w:t>The implementation tests distinct content terms against fixed technical, legal, economic and environmental lexicons. “Procedural” is not an additional category. The domain-count component is max(1, number of matched domains), and the multi-domain indicator equals 1 only when more than one domain is matched. Both subweights equal 1.0; consequently, the domain feature is 1 even when no lexicon entry is matched. Matching is token-based; a multiword lexicon entry does not by itself match a sequence of separate tokens. Worked examples must use these implemented rules rather than semantic domain assignments made by the analyst.</w:t>
      </w:r>
    </w:p>
    <w:p>
      <w:r>
        <w:t>The calibration set contains 150 author-curated queries, with 75 labelled simple and 75 labelled complex and no duplicate query strings. A companion file supplies reference answers. These labels are operational targets. The previously described knowledge-base (KB) sufficiency rule classifies a query as simple when coverage is at least 0.6 and contradiction is at most 0.2. Our records do not contain those component measurements or an annotation audit trail; the reproduced fit therefore uses the supplied label column directly. Even verified KB-sufficiency labels would be corpus-dependent proxies: a direct question can be unanswerable because evidence is absent without requiring complex reasoning. Our Source A statistics, lexical-rarity mode and disabled parse-depth option reproduce all five stored coefficients in Equation 5 to four decimal places. We used Contract Document.pdf for calibration and verified that all 116 indexed calibration chunks are attributed to that document. The lexical statistics are stored separately from the serving index and remain fixed when serving documents are added. The calibration question CSV has no per-question source field; the single-document index does not independently establish the provenance of every curated question.</w:t>
      </w:r>
    </w:p>
    <w:p>
      <w:r>
        <w:t>The calibration script standardizes the five features before fitting an L2-regularized logistic model with non-negative feature coefficients and an unpenalized intercept; the penalty parameter is 1.0. It converts coefficients back to raw feature units and normalizes by the term-count coefficient. The deployment score omits the fitted intercept and uses a separately estimated threshold. Raw-unit coefficient magnitudes are not interpreted as feature importance. As a separate diagnostic, an unconstrained standardized logistic classifier evaluated with five stratified folds, shuffle enabled and seed 0 gives mean area under the receiver operating characteristic curve (AUC) 0.942 (fold SD 0.035) and mean accuracy 0.907 (fold SD 0.053). Preprocessing for that classifier is fitted within each fold. These diagnostics assess label separability; they are not cross-validation of the constrained score-plus-threshold router and do not establish external validity.</w:t>
      </w:r>
    </w:p>
    <w:p>
      <w:r>
        <w:t>Under the equal-variance Gaussian model with balanced class priors, the decision threshold is the midpoint of the two fitted class means. The reproduced value is 77.2738, stored as τ = 77.27; this is not an unequal-variance density crossing. The current implementation reproduces all 30 rounded scores in the evaluation table. Four borderline routes differ from the older register, which used weights (1, 2, 1.5, 1, 2) and τ = 15.92. That historical 90% label-agreement result is superseded by the reproduced 83.3% result. The older threshold sweep rescales historical scores and is not used as validation of the current router.</w:t>
      </w:r>
    </w:p>
    <w:p>
      <w:pPr>
        <w:keepNext/>
      </w:pPr>
      <w:r>
        <w:t>Table S1 provides two fully reproduced worked examples using the current feature code, Source A corpus statistics, fitted weights and τ = 77.27. The examples use distinct-term counts, the implemented reasoning-cue and actor rules, and the four-domain lexicon. S03 has one scenario segment, no reasoning cue and the minimum actor contribution of one; X02 has one segment, no reasoning cue and three actor matches. Neither example introduces a procedural domain.</w:t>
      </w:r>
    </w:p>
    <w:p>
      <w:pPr>
        <w:pStyle w:val="Heading1"/>
      </w:pPr>
      <w:r>
        <w:t>S2 Primary evaluation and agreement conventions</w:t>
      </w:r>
    </w:p>
    <w:p>
      <w:r>
        <w:t>The timing log contains 750 successful records: 30 queries × five systems × five repetitions (indices 0–4), with no duplicate query–system–repetition keys. Five observed repetitions supersede the inconsistent ten-run metadata. The benchmark code measures elapsed wall-clock seconds immediately around the system answer call, including retrieval and generation and, for ARA, routing within that call. OCR ingestion, prior index construction, optional post-answer judging and transcript writing lie outside this interval. For each query–system pair, latency is the median of its five repetitions. Stratum summaries describe ten such query medians; repeats are not treated as independent queries. The log contains no per-run timestamps, hardware specification or immutable model identifiers. These results characterize the recorded local-retrieval and remote-generation setting, not portable deployment performance.</w:t>
      </w:r>
    </w:p>
    <w:p>
      <w:r>
        <w:t>The benchmark register contains 30 author-curated queries: S01–S10, B01–B10 and X01–X10, with ten intended simple, borderline and complex cases, respectively. Quality sheets use S1–S10, B1–B10 and C1–C10; Xn maps to Cn in that sheet. Sources A, C and D contribute 10, 9 and 11 queries. Topics include measurement, payment, security, delay, variation, dispute and termination. The historical register defines the borderline band as ±20% of 15.92. This design label must not be reinterpreted as a band around 77.27. The limited, related sources support a proof of concept rather than robust generalization across contract populations.</w:t>
      </w:r>
    </w:p>
    <w:p>
      <w:r>
        <w:t>The ara1.zip archive contains three PDFs in its serving folder, but its saved Chroma index contains 432 chunks from two files: 116 from Contract Document.pdf and 316 from Scanned Document - Adjudication Between Link Engineering and University of Kelaniya.pdf. Contract Document MS Link SBD 4.pdf is present in the folder but absent from the saved index metadata. This snapshot establishes archived index contents, not the index state for every historical run. In the archived eval.py benchmark, the GPT-5.2 and Mistral functions in ara/llm.py send only a generic system instruction and the question, without retrieved passages or document attachments. Their API requests do not obtain corpus access merely because PDFs are present in the project folder. Our primary quality sheet contains 750 ratings: 30 queries × five systems × five experts, all recorded at repetition 1. Each query–system score is the mean of its five expert ratings on a five-point accuracy-and-relevance scale. The quality analysis uses 30 paired query-level observations, not 750 independent observations. The five quality experts and three PRM experts are described in Table S2; the separate PRM workbooks use local identifiers E1–E3, whose mapping to panel members E6–E8 is not fully documented in the retained records. The existing rubric does not independently score answer correctness, clause citation support or unsupported claims, so these dimensions are not inferred from the composite ratings. We conducted blinded evaluation. We recall masking system identity, PRM scores and selected actions. The PRM rating-form design omits score and selected-action fields, but this does not independently verify every administration detail; the exact masking procedure and local expert-code mapping are not fully documented in the retained records. Quality and timing are linked by query and system; a one-to-one rated-transcript-to-repetition mapping is not established.</w:t>
      </w:r>
    </w:p>
    <w:p>
      <w:pPr>
        <w:keepNext/>
      </w:pPr>
      <w:r>
        <w:t>Table 2 reports mean quality, sample standard deviation and percentile-bootstrap 95% confidence intervals from ten per-query expert means in each stratum. Timing values are recomputed from the raw log as the median and interquartile range (IQR; 25th–75th percentiles) of the ten within-query five-repeat medians. Table S3 reports 95% intervals for these stratum medians, using 10,000 query resamples and seed 42. Table 3 reports paired ARA-minus-pipeline differences in query median latency, with query-level bootstrap intervals for the mean difference and Wilcoxon signed-rank tests. Holm correction is applied across the two overall latency comparisons; stratum-specific comparisons are exploratory. An IQR describes spread, not uncertainty in an estimate. These timing estimates replace the previous nonreproduced summaries.</w:t>
      </w:r>
    </w:p>
    <w:p>
      <w:r>
        <w:t>On the recovered response items, ordinal Krippendorff’s α is 0.851 (95% query-cluster bootstrap CI 0.812–0.883; 2,000 resamples), and the absolute-agreement intraclass correlation coefficient ICC(2,k) is 0.968. These pooled measures span all five systems. A Friedman test across the five paired query-level scores gives χ² = 92.32 with four degrees of freedom (p &lt; 0.001). Table 3 reports the four ARA-versus-baseline Wilcoxon signed-rank comparisons with Holm correction. Differences are rounded to ten decimal places before rank calculation to avoid floating-point tie artifacts; zero differences are omitted. Positive matched-pairs rank-biserial effects favor ARA. The paired mean quality difference is 1.27 versus RAG-Flow (95% CI 0.74–1.83) and −0.41 versus RAG-Gym (95% CI −0.59 to −0.23), with adjusted p &lt; 0.001 for both. The general-purpose comparisons remain confounded by unequal corpus access.</w:t>
      </w:r>
    </w:p>
    <w:p>
      <w:r>
        <w:t>Routing-label agreement for the reproduced configuration is 25/30 (83.3%; Wilson 95% CI 66.4%–92.7%) overall and 5/10 (50.0%; Wilson 95% CI 23.7%–76.3%) in the intended borderline stratum. The five mismatches are B02, B05, B07, B08 and B10. All 30 rounded scores match the current evaluation table, and the ARA transcript headers identify the corresponding routes. The earlier 27/30 figure came from an older route register and is superseded. Label agreement measures correspondence with operational simple/complex targets, not quality-optimal selection or an optimized utility combining answer quality and response time. As an exploratory diagnostic, the reproduced routes select a pipeline attaining the greater standalone quality mean in 17/30 cases, including quality ties. This calculation uses the standalone ratings as a counterfactual comparison; it is not a new causal routing experiment.</w:t>
      </w:r>
    </w:p>
    <w:p>
      <w:r>
        <w:t>Our agreement study contains six logged queries: B03, B06, X02, X05, X09 and X10. They produce 21 eligible decision points and 60 candidate actions, with complete three-dimension ratings from three experts in each of three separate workbooks. Candidate texts match the JSONL traces exactly. The study does not substantiate the earlier description of ten selected queries, including four borderline and two simple sanity checks, because corresponding traces or records were not supplied. PRM analysis concerns candidate-action preferences rather than final-answer correctness. We conducted blinded evaluation. We used the three independently completed expert workbooks for this analysis. The form design masks PRM scores and the chosen action. System-identity masking is based on author recollection; candidate-order randomization and the mapping of local workbook codes to the panel in Table S2 remain unverified.</w:t>
      </w:r>
    </w:p>
    <w:p>
      <w:r>
        <w:t>Our agreement script defines each expert’s candidate composite as the mean of usefulness, relevance and efficiency. All candidates tied at an expert’s maximum form that expert’s winner set. A majority-supported reference set contains every candidate supported by at least two of the three experts. Agreement occurs when this set overlaps the PRM maximum-score winner set. This convention reproduces 15/20 agreements (75%); one of the 21 logged decisions has no majority-supported candidate. Reanalysis using 10,000 query-cluster resamples and seed 42 gives a 95% interval of 66.7%–88.2%; the supplied script instead resamples individual decisions. This set-overlap measure can count more than one reference winner and should not be interpreted as accuracy of a unique chosen action. A stricter unique-greatest-support convention gives 9/15 matches (60%), and lowest-index expert tie-breaking gives 11/20 (55%). Mean finite within-decision PRM–expert Spearman correlation is 0.377 (95% query-cluster CI 0.058–0.826); constant-score correlations are omitted. Mean pairwise expert winner-set overlap is 90.5%, and direct expert-to-expert rank correlation is 0.719. The supplied script’s function named pairwise_expert_spearman averages PRM–expert correlations instead of correlating expert score vectors, so it does not compute an inter-expert rank correlation. No fallback is recorded. Only six query clusters limit precision. The reanalysis computes expert-to-expert correlations directly from expert score vectors. No persona-rating generator is used.</w:t>
      </w:r>
    </w:p>
    <w:p>
      <w:pPr>
        <w:pStyle w:val="Heading1"/>
      </w:pPr>
      <w:r>
        <w:t>S3 Supplementary rerun configuration verification and analysis</w:t>
      </w:r>
    </w:p>
    <w:p>
      <w:r>
        <w:t>After diagnosing the interrupted pilot, we documented an execution amendment and froze the rerun at 10:12:44 UTC on 15 October 2026. We raised structured and final completion limits to 8,192 tokens, configured a two-second minimum request-start interval, a 120-second timeout and at most two transport attempts with a five-second retry wait, and stopped the batch after any non-successful trial. We retained the questions, router coefficients, threshold and model aliases; this is an amended experiment rather than a continuation pooled with the earlier timings. All 540 successful records reference the same freeze, and all files listed in that manifest match their hashes. Responses identify gpt-5-mini-2025-08-07 and gpt-5.2-2025-12-11; Mistral reports mistral-large-latest, which remains an alias. Embeddings use text-embedding-3-small. Supplement S3 gives the execution and reference provenance. The rerun freeze has SHA-256 a3cc2c1abe6f6aa4586cacad22100bb866b85cd9c8e16fb5c6b1481315faf25c. The manifest binds code, source PDFs, questions, calibration artifacts, OCR references and corrected text. We verified every listed file against the manifest and every successful trial against this freeze. The initial pilot freeze was dated 11 October 2026; its outcomes are retained as a separate experiment.</w:t>
      </w:r>
    </w:p>
    <w:p>
      <w:r>
        <w:t>Two human evaluators independently rated all 108 primary answers. We use the anonymous labels Evaluator 1 and Evaluator 2 consistently with the completed evaluation folders. Shuffled blind identifiers conceal explicit system labels, although answer style and retrieved evidence can reveal a condition. Correctness is scored 0 for substantially wrong or unanswered, 1 for partially correct, and 2 for all essential elements correct with necessary qualifications. Citation support counts supported claim–citation links divided by all such links; unsupported-claim rate counts unsupported atomic factual claims divided by all factual claims. A zero denominator is undefined, not perfect support. Both evaluators supplied complete numeric entries and notes. We retained their separate scores, including two correctness disagreements, rather than replacing them with consensus. Evaluator 2 subsequently clarified the citation and claim counts for B050 and B054 without changing correctness; the revised entries are used here and the originals are preserved. Exact correctness agreement is 106/108 (98.1%); unweighted kappa is 0.925 and quadratic-weighted kappa is 0.958. Both disagreements are 1 versus 2. No adjudicated consensus replaced the independent scores. Citation agreement cannot be inferred from these correctness statistics: after the revised entries, total citation links are 792 for Evaluator 1 and 972 for Evaluator 2. The folder labels here supersede the provisional labels used during earlier file-by-file review.</w:t>
      </w:r>
    </w:p>
    <w:p>
      <w:r>
        <w:t>Across eight selected pages, normalized OCR comparison yields 1,474 character edits over 12,425 reference characters and 262 word edits over 1,879 reference words: pooled character error rate (CER) 11.86% and word error rate (WER) 13.94%. Normalization applies Unicode NFC, whitespace collapse and removal of selected Markdown formatting identically to both versions while retaining text and table-cell order. These rates describe textual differences, not layout or the legal materiality of errors. The page sample is purposive. We prepared the reference transcripts with AI assistance and subsequently completed native-human Sinhala/Tamil verification, recorded on 12 October 2026. That verification followed the original pilot but preceded the 15 October rerun freeze. The retained reference and corrected-text files are included in the rerun hash manifest. Human verification does not make the initial transcription independent or remove all transcription uncertainty. The raw and corrected conditions use the same selected pages and ingestion settings; correction can alter chunk boundaries and retrieval as well as recognized text.</w:t>
      </w:r>
    </w:p>
    <w:p>
      <w:r>
        <w:t>All 540 planned trials have successful final records, with no missing or duplicate question–system–repetition combinations, empty answers or recorded fallbacks (Table 4). One additional Gym attempt stopped when the provider explicitly reported exhausted credits; we preserved that record, restored credits and repeated the interrupted trial. Thus, the rerun contains 541 formal attempts, including one failure, yielding 540 completed trials. The interrupted 7.50-second attempt is not treated as completed-answer latency. All 108 designated primary answers were rated, eliminating the unequal quality-sample completion of the earlier pilot. For provenance, the earlier pilot remains separate: 278 successful, 94 degraded and 168 failed attempts. Its failure counts and incomplete ratings are not pooled with the amended rerun.</w:t>
      </w:r>
    </w:p>
    <w:p>
      <w:r>
        <w:t>For paired correctness comparisons, we average the evaluators within each answer and compare the same questions across methods. ARA-minus-Flow and ARA-minus-grounded-GPT differences are each +0.100 points (95% interval −0.100 to 0.350); ARA-minus-Gym is +0.050 (−0.100 to 0.275), and ARA-minus-grounded-Mistral is +0.150 (−0.075 to 0.400). These exploratory percentile intervals use 10,000 paired question resamples within the two source strata, preserving their 12:8 composition; each contrast uses seed 19357. All intervals include zero. Most answers tie, and C03 contributes strongly to the observed lead: ARA receives 2 while each comparison method receives 0. This is evidence of a useful answer on one difficult item, not proof that routing caused the gain. The intervals are conditional on these two documents, do not capture between-document uncertainty, and are not equivalence tests (Table S6). For clarity, these supplementary correctness points are on a 0–2 scale and must not be numerically pooled with the primary 1–5 composite ratings. Each bootstrap draw samples eight circular and twelve defence question pairs with replacement. The same paired resample indexes apply to both methods, with the evaluators averaged within each answer before sampling. Source-specific comparisons sample questions only within that source. We reset NumPy default_rng to seed 19357 for each contrast; reported intervals are percentile 2.5th and 97.5th quantiles. They are exploratory, unadjusted intervals, not confirmatory superiority tests.</w:t>
      </w:r>
    </w:p>
    <w:p>
      <w:r>
        <w:t>The OCR ablation now includes all eight paired circular questions. Both evaluators give raw Flow mean correctness 1.625 and corrected Flow 1.875, a difference of +0.250 (95% interval −0.250 to 0.875). C03 improves from 0 to 2 and C04 from 1 to 2; C01 falls from 2 to 1, and five questions are unchanged. Mean paired citation-support proportions increase by 0.088 for Evaluator 1 and 0.091 for Evaluator 2; mean unsupported-claim proportions decrease by 0.108 for both, but all corresponding intervals include zero (Table S8). This mixed result demonstrates that correction can change downstream answers in either direction. It does not establish a general benefit or isolate recognition from changed chunking, retrieval and stochastic generation. The proportion differences use an equal-weight mean across the eight paired answers, separately for each evaluator. They are not differences between pooled link-count ratios. Each OCR interval uses 10,000 paired question resamples with seed 19357. The five timing repetitions do not increase the number of independently rated OCR pairs beyond eight.</w:t>
      </w:r>
    </w:p>
    <w:p>
      <w:r>
        <w:t>All query–system pairs have five successful repetitions. Taking each pair’s median latency and then averaging over 20 questions gives ARA 39.87 s, Gym 43.13 s, Flow 7.91 s, grounded GPT-5.2 4.62 s and grounded Mistral 4.55 s. ARA-minus-Gym mean paired latency is −3.26 s (exploratory 95% interval −6.78 to −0.16 s), approximately 7.6% of Gym’s mean query-median latency. Source-specific intervals include zero. ARA is 31.96 s slower than Flow (24.00 to 41.14 s), 35.25 s slower than grounded GPT-5.2 (27.17 to 44.59 s) and 35.32 s slower than grounded Mistral (27.27 to 44.54 s). The frozen router selects Gym for 18/20 questions and Flow only for C06 and D09 in every repetition. The observed saving is consequently modest and depends on the question mix. Latency includes configured pacing and transport handling; it is not pooled with the primary benchmark or interrupted pilot. Tables S6–S7 report paired uncertainty. These exploratory intervals are not adjusted for multiple comparisons, and neither an optimal utility nor professional time savings is established. The supplementary overall latency intervals use the same stratified question-resampling convention as correctness. Table S7 separates the sources and shows why a pooled small saving should not be generalized. These are means of paired differences between query medians; they are not the difference between two overall medians. The archived failed attempt remains in the execution accounting but is excluded from completed-answer latency.</w:t>
      </w:r>
    </w:p>
    <w:p>
      <w:pPr>
        <w:pStyle w:val="Heading2"/>
        <w:keepNext/>
      </w:pPr>
      <w:r>
        <w:t>Table S1. Reproduced current feature calculations with lexical rarity mode and parse depth disabled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312"/>
          </w:tcPr>
          <w:p>
            <w:pPr>
              <w:keepNext w:val="0"/>
              <w:spacing w:line="240" w:lineRule="auto" w:after="60"/>
            </w:pPr>
            <w:r>
              <w:rPr>
                <w:rFonts w:ascii="Times New Roman" w:hAnsi="Times New Roman"/>
                <w:b/>
                <w:sz w:val="18"/>
              </w:rPr>
              <w:t>Field</w:t>
            </w:r>
          </w:p>
        </w:tc>
        <w:tc>
          <w:tcPr>
            <w:tcW w:type="dxa" w:w="3312"/>
          </w:tcPr>
          <w:p>
            <w:pPr>
              <w:keepNext w:val="0"/>
              <w:spacing w:line="240" w:lineRule="auto" w:after="60"/>
            </w:pPr>
            <w:r>
              <w:rPr>
                <w:rFonts w:ascii="Times New Roman" w:hAnsi="Times New Roman"/>
                <w:b/>
                <w:sz w:val="18"/>
              </w:rPr>
              <w:t>Current S03</w:t>
            </w:r>
          </w:p>
        </w:tc>
        <w:tc>
          <w:tcPr>
            <w:tcW w:type="dxa" w:w="3312"/>
          </w:tcPr>
          <w:p>
            <w:pPr>
              <w:keepNext w:val="0"/>
              <w:spacing w:line="240" w:lineRule="auto" w:after="60"/>
            </w:pPr>
            <w:r>
              <w:rPr>
                <w:rFonts w:ascii="Times New Roman" w:hAnsi="Times New Roman"/>
                <w:b/>
                <w:sz w:val="18"/>
              </w:rPr>
              <w:t>Current X02</w:t>
            </w:r>
          </w:p>
        </w:tc>
      </w:tr>
      <w:tr>
        <w:trPr>
          <w:cantSplit/>
        </w:trPr>
        <w:tc>
          <w:tcPr>
            <w:tcW w:type="dxa" w:w="3312"/>
          </w:tcPr>
          <w:p>
            <w:pPr>
              <w:keepNext w:val="0"/>
              <w:spacing w:line="240" w:lineRule="auto" w:after="60"/>
            </w:pPr>
            <w:r>
              <w:rPr>
                <w:rFonts w:ascii="Times New Roman" w:hAnsi="Times New Roman"/>
                <w:sz w:val="18"/>
              </w:rPr>
              <w:t>Query</w:t>
            </w:r>
          </w:p>
        </w:tc>
        <w:tc>
          <w:tcPr>
            <w:tcW w:type="dxa" w:w="3312"/>
          </w:tcPr>
          <w:p>
            <w:pPr>
              <w:keepNext w:val="0"/>
              <w:spacing w:line="240" w:lineRule="auto" w:after="60"/>
            </w:pPr>
            <w:r>
              <w:rPr>
                <w:rFonts w:ascii="Times New Roman" w:hAnsi="Times New Roman"/>
                <w:sz w:val="18"/>
              </w:rPr>
              <w:t>What is the retention percentage under the contract?</w:t>
            </w:r>
          </w:p>
        </w:tc>
        <w:tc>
          <w:tcPr>
            <w:tcW w:type="dxa" w:w="3312"/>
          </w:tcPr>
          <w:p>
            <w:pPr>
              <w:keepNext w:val="0"/>
              <w:spacing w:line="240" w:lineRule="auto" w:after="60"/>
            </w:pPr>
            <w:r>
              <w:rPr>
                <w:rFonts w:ascii="Times New Roman" w:hAnsi="Times New Roman"/>
                <w:sz w:val="18"/>
              </w:rPr>
              <w:t>If the employer fails to nominate an arbitrator can the contractor proceed unilaterally and what costs may be recovered?</w:t>
            </w:r>
          </w:p>
        </w:tc>
      </w:tr>
      <w:tr>
        <w:trPr>
          <w:cantSplit/>
        </w:trPr>
        <w:tc>
          <w:tcPr>
            <w:tcW w:type="dxa" w:w="3312"/>
          </w:tcPr>
          <w:p>
            <w:pPr>
              <w:keepNext w:val="0"/>
              <w:spacing w:line="240" w:lineRule="auto" w:after="60"/>
            </w:pPr>
            <w:r>
              <w:rPr>
                <w:rFonts w:ascii="Times New Roman" w:hAnsi="Times New Roman"/>
                <w:sz w:val="18"/>
              </w:rPr>
              <w:t>Distinct terms T</w:t>
            </w:r>
          </w:p>
        </w:tc>
        <w:tc>
          <w:tcPr>
            <w:tcW w:type="dxa" w:w="3312"/>
          </w:tcPr>
          <w:p>
            <w:pPr>
              <w:keepNext w:val="0"/>
              <w:spacing w:line="240" w:lineRule="auto" w:after="60"/>
            </w:pPr>
            <w:r>
              <w:rPr>
                <w:rFonts w:ascii="Times New Roman" w:hAnsi="Times New Roman"/>
                <w:sz w:val="18"/>
              </w:rPr>
              <w:t>4</w:t>
            </w:r>
          </w:p>
        </w:tc>
        <w:tc>
          <w:tcPr>
            <w:tcW w:type="dxa" w:w="3312"/>
          </w:tcPr>
          <w:p>
            <w:pPr>
              <w:keepNext w:val="0"/>
              <w:spacing w:line="240" w:lineRule="auto" w:after="60"/>
            </w:pPr>
            <w:r>
              <w:rPr>
                <w:rFonts w:ascii="Times New Roman" w:hAnsi="Times New Roman"/>
                <w:sz w:val="18"/>
              </w:rPr>
              <w:t>11</w:t>
            </w:r>
          </w:p>
        </w:tc>
      </w:tr>
      <w:tr>
        <w:trPr>
          <w:cantSplit/>
        </w:trPr>
        <w:tc>
          <w:tcPr>
            <w:tcW w:type="dxa" w:w="3312"/>
          </w:tcPr>
          <w:p>
            <w:pPr>
              <w:keepNext w:val="0"/>
              <w:spacing w:line="240" w:lineRule="auto" w:after="60"/>
            </w:pPr>
            <w:r>
              <w:rPr>
                <w:rFonts w:ascii="Times New Roman" w:hAnsi="Times New Roman"/>
                <w:sz w:val="18"/>
              </w:rPr>
              <w:t>Ops</w:t>
            </w:r>
          </w:p>
        </w:tc>
        <w:tc>
          <w:tcPr>
            <w:tcW w:type="dxa" w:w="3312"/>
          </w:tcPr>
          <w:p>
            <w:pPr>
              <w:keepNext w:val="0"/>
              <w:spacing w:line="240" w:lineRule="auto" w:after="60"/>
            </w:pPr>
            <w:r>
              <w:rPr>
                <w:rFonts w:ascii="Times New Roman" w:hAnsi="Times New Roman"/>
                <w:sz w:val="18"/>
              </w:rPr>
              <w:t>0</w:t>
            </w:r>
          </w:p>
        </w:tc>
        <w:tc>
          <w:tcPr>
            <w:tcW w:type="dxa" w:w="3312"/>
          </w:tcPr>
          <w:p>
            <w:pPr>
              <w:keepNext w:val="0"/>
              <w:spacing w:line="240" w:lineRule="auto" w:after="60"/>
            </w:pPr>
            <w:r>
              <w:rPr>
                <w:rFonts w:ascii="Times New Roman" w:hAnsi="Times New Roman"/>
                <w:sz w:val="18"/>
              </w:rPr>
              <w:t>1</w:t>
            </w:r>
          </w:p>
        </w:tc>
      </w:tr>
      <w:tr>
        <w:trPr>
          <w:cantSplit/>
        </w:trPr>
        <w:tc>
          <w:tcPr>
            <w:tcW w:type="dxa" w:w="3312"/>
          </w:tcPr>
          <w:p>
            <w:pPr>
              <w:keepNext w:val="0"/>
              <w:spacing w:line="240" w:lineRule="auto" w:after="60"/>
            </w:pPr>
            <w:r>
              <w:rPr>
                <w:rFonts w:ascii="Times New Roman" w:hAnsi="Times New Roman"/>
                <w:sz w:val="18"/>
              </w:rPr>
              <w:t>Depth</w:t>
            </w:r>
          </w:p>
        </w:tc>
        <w:tc>
          <w:tcPr>
            <w:tcW w:type="dxa" w:w="3312"/>
          </w:tcPr>
          <w:p>
            <w:pPr>
              <w:keepNext w:val="0"/>
              <w:spacing w:line="240" w:lineRule="auto" w:after="60"/>
            </w:pPr>
            <w:r>
              <w:rPr>
                <w:rFonts w:ascii="Times New Roman" w:hAnsi="Times New Roman"/>
                <w:sz w:val="18"/>
              </w:rPr>
              <w:t>1 segment + 0 cues + 1 minimum actor = 2</w:t>
            </w:r>
          </w:p>
        </w:tc>
        <w:tc>
          <w:tcPr>
            <w:tcW w:type="dxa" w:w="3312"/>
          </w:tcPr>
          <w:p>
            <w:pPr>
              <w:keepNext w:val="0"/>
              <w:spacing w:line="240" w:lineRule="auto" w:after="60"/>
            </w:pPr>
            <w:r>
              <w:rPr>
                <w:rFonts w:ascii="Times New Roman" w:hAnsi="Times New Roman"/>
                <w:sz w:val="18"/>
              </w:rPr>
              <w:t>1 segment + 0 cues + 3 actors = 4</w:t>
            </w:r>
          </w:p>
        </w:tc>
      </w:tr>
      <w:tr>
        <w:trPr>
          <w:cantSplit/>
        </w:trPr>
        <w:tc>
          <w:tcPr>
            <w:tcW w:type="dxa" w:w="3312"/>
          </w:tcPr>
          <w:p>
            <w:pPr>
              <w:keepNext w:val="0"/>
              <w:spacing w:line="240" w:lineRule="auto" w:after="60"/>
            </w:pPr>
            <w:r>
              <w:rPr>
                <w:rFonts w:ascii="Times New Roman" w:hAnsi="Times New Roman"/>
                <w:sz w:val="18"/>
              </w:rPr>
              <w:t>Lexical rarity</w:t>
            </w:r>
          </w:p>
        </w:tc>
        <w:tc>
          <w:tcPr>
            <w:tcW w:type="dxa" w:w="3312"/>
          </w:tcPr>
          <w:p>
            <w:pPr>
              <w:keepNext w:val="0"/>
              <w:spacing w:line="240" w:lineRule="auto" w:after="60"/>
            </w:pPr>
            <w:r>
              <w:rPr>
                <w:rFonts w:ascii="Times New Roman" w:hAnsi="Times New Roman"/>
                <w:sz w:val="18"/>
              </w:rPr>
              <w:t>6.9695</w:t>
            </w:r>
          </w:p>
        </w:tc>
        <w:tc>
          <w:tcPr>
            <w:tcW w:type="dxa" w:w="3312"/>
          </w:tcPr>
          <w:p>
            <w:pPr>
              <w:keepNext w:val="0"/>
              <w:spacing w:line="240" w:lineRule="auto" w:after="60"/>
            </w:pPr>
            <w:r>
              <w:rPr>
                <w:rFonts w:ascii="Times New Roman" w:hAnsi="Times New Roman"/>
                <w:sz w:val="18"/>
              </w:rPr>
              <w:t>7.5455</w:t>
            </w:r>
          </w:p>
        </w:tc>
      </w:tr>
      <w:tr>
        <w:trPr>
          <w:cantSplit/>
        </w:trPr>
        <w:tc>
          <w:tcPr>
            <w:tcW w:type="dxa" w:w="3312"/>
          </w:tcPr>
          <w:p>
            <w:pPr>
              <w:keepNext w:val="0"/>
              <w:spacing w:line="240" w:lineRule="auto" w:after="60"/>
            </w:pPr>
            <w:r>
              <w:rPr>
                <w:rFonts w:ascii="Times New Roman" w:hAnsi="Times New Roman"/>
                <w:sz w:val="18"/>
              </w:rPr>
              <w:t>Dom</w:t>
            </w:r>
          </w:p>
        </w:tc>
        <w:tc>
          <w:tcPr>
            <w:tcW w:type="dxa" w:w="3312"/>
          </w:tcPr>
          <w:p>
            <w:pPr>
              <w:keepNext w:val="0"/>
              <w:spacing w:line="240" w:lineRule="auto" w:after="60"/>
            </w:pPr>
            <w:r>
              <w:rPr>
                <w:rFonts w:ascii="Times New Roman" w:hAnsi="Times New Roman"/>
                <w:sz w:val="18"/>
              </w:rPr>
              <w:t>1</w:t>
            </w:r>
          </w:p>
        </w:tc>
        <w:tc>
          <w:tcPr>
            <w:tcW w:type="dxa" w:w="3312"/>
          </w:tcPr>
          <w:p>
            <w:pPr>
              <w:keepNext w:val="0"/>
              <w:spacing w:line="240" w:lineRule="auto" w:after="60"/>
            </w:pPr>
            <w:r>
              <w:rPr>
                <w:rFonts w:ascii="Times New Roman" w:hAnsi="Times New Roman"/>
                <w:sz w:val="18"/>
              </w:rPr>
              <w:t>1</w:t>
            </w:r>
          </w:p>
        </w:tc>
      </w:tr>
      <w:tr>
        <w:trPr>
          <w:cantSplit/>
        </w:trPr>
        <w:tc>
          <w:tcPr>
            <w:tcW w:type="dxa" w:w="3312"/>
          </w:tcPr>
          <w:p>
            <w:pPr>
              <w:keepNext w:val="0"/>
              <w:spacing w:line="240" w:lineRule="auto" w:after="60"/>
            </w:pPr>
            <w:r>
              <w:rPr>
                <w:rFonts w:ascii="Times New Roman" w:hAnsi="Times New Roman"/>
                <w:sz w:val="18"/>
              </w:rPr>
              <w:t>Fitted weights</w:t>
            </w:r>
          </w:p>
        </w:tc>
        <w:tc>
          <w:tcPr>
            <w:tcW w:type="dxa" w:w="3312"/>
          </w:tcPr>
          <w:p>
            <w:pPr>
              <w:keepNext w:val="0"/>
              <w:spacing w:line="240" w:lineRule="auto" w:after="60"/>
            </w:pPr>
            <w:r>
              <w:rPr>
                <w:rFonts w:ascii="Times New Roman" w:hAnsi="Times New Roman"/>
                <w:sz w:val="18"/>
              </w:rPr>
              <w:t>(1, 2.5287, 6.9883, 6.5402, 0.9382)</w:t>
            </w:r>
          </w:p>
        </w:tc>
        <w:tc>
          <w:tcPr>
            <w:tcW w:type="dxa" w:w="3312"/>
          </w:tcPr>
          <w:p>
            <w:pPr>
              <w:keepNext w:val="0"/>
              <w:spacing w:line="240" w:lineRule="auto" w:after="60"/>
            </w:pPr>
            <w:r>
              <w:rPr>
                <w:rFonts w:ascii="Times New Roman" w:hAnsi="Times New Roman"/>
                <w:sz w:val="18"/>
              </w:rPr>
              <w:t>(1, 2.5287, 6.9883, 6.5402, 0.9382)</w:t>
            </w:r>
          </w:p>
        </w:tc>
      </w:tr>
      <w:tr>
        <w:trPr>
          <w:cantSplit/>
        </w:trPr>
        <w:tc>
          <w:tcPr>
            <w:tcW w:type="dxa" w:w="3312"/>
          </w:tcPr>
          <w:p>
            <w:pPr>
              <w:keepNext w:val="0"/>
              <w:spacing w:line="240" w:lineRule="auto" w:after="60"/>
            </w:pPr>
            <w:r>
              <w:rPr>
                <w:rFonts w:ascii="Times New Roman" w:hAnsi="Times New Roman"/>
                <w:sz w:val="18"/>
              </w:rPr>
              <w:t>C(Q)</w:t>
            </w:r>
          </w:p>
        </w:tc>
        <w:tc>
          <w:tcPr>
            <w:tcW w:type="dxa" w:w="3312"/>
          </w:tcPr>
          <w:p>
            <w:pPr>
              <w:keepNext w:val="0"/>
              <w:spacing w:line="240" w:lineRule="auto" w:after="60"/>
            </w:pPr>
            <w:r>
              <w:rPr>
                <w:rFonts w:ascii="Times New Roman" w:hAnsi="Times New Roman"/>
                <w:sz w:val="18"/>
              </w:rPr>
              <w:t>64.50</w:t>
            </w:r>
          </w:p>
        </w:tc>
        <w:tc>
          <w:tcPr>
            <w:tcW w:type="dxa" w:w="3312"/>
          </w:tcPr>
          <w:p>
            <w:pPr>
              <w:keepNext w:val="0"/>
              <w:spacing w:line="240" w:lineRule="auto" w:after="60"/>
            </w:pPr>
            <w:r>
              <w:rPr>
                <w:rFonts w:ascii="Times New Roman" w:hAnsi="Times New Roman"/>
                <w:sz w:val="18"/>
              </w:rPr>
              <w:t>91.77</w:t>
            </w:r>
          </w:p>
        </w:tc>
      </w:tr>
      <w:tr>
        <w:trPr>
          <w:cantSplit/>
        </w:trPr>
        <w:tc>
          <w:tcPr>
            <w:tcW w:type="dxa" w:w="3312"/>
          </w:tcPr>
          <w:p>
            <w:pPr>
              <w:keepNext w:val="0"/>
              <w:spacing w:line="240" w:lineRule="auto" w:after="60"/>
            </w:pPr>
            <w:r>
              <w:rPr>
                <w:rFonts w:ascii="Times New Roman" w:hAnsi="Times New Roman"/>
                <w:sz w:val="18"/>
              </w:rPr>
              <w:t>Threshold</w:t>
            </w:r>
          </w:p>
        </w:tc>
        <w:tc>
          <w:tcPr>
            <w:tcW w:type="dxa" w:w="3312"/>
          </w:tcPr>
          <w:p>
            <w:pPr>
              <w:keepNext w:val="0"/>
              <w:spacing w:line="240" w:lineRule="auto" w:after="60"/>
            </w:pPr>
            <w:r>
              <w:rPr>
                <w:rFonts w:ascii="Times New Roman" w:hAnsi="Times New Roman"/>
                <w:sz w:val="18"/>
              </w:rPr>
              <w:t>77.27</w:t>
            </w:r>
          </w:p>
        </w:tc>
        <w:tc>
          <w:tcPr>
            <w:tcW w:type="dxa" w:w="3312"/>
          </w:tcPr>
          <w:p>
            <w:pPr>
              <w:keepNext w:val="0"/>
              <w:spacing w:line="240" w:lineRule="auto" w:after="60"/>
            </w:pPr>
            <w:r>
              <w:rPr>
                <w:rFonts w:ascii="Times New Roman" w:hAnsi="Times New Roman"/>
                <w:sz w:val="18"/>
              </w:rPr>
              <w:t>77.27</w:t>
            </w:r>
          </w:p>
        </w:tc>
      </w:tr>
      <w:tr>
        <w:trPr>
          <w:cantSplit/>
        </w:trPr>
        <w:tc>
          <w:tcPr>
            <w:tcW w:type="dxa" w:w="3312"/>
          </w:tcPr>
          <w:p>
            <w:pPr>
              <w:keepNext w:val="0"/>
              <w:spacing w:line="240" w:lineRule="auto" w:after="60"/>
            </w:pPr>
            <w:r>
              <w:rPr>
                <w:rFonts w:ascii="Times New Roman" w:hAnsi="Times New Roman"/>
                <w:sz w:val="18"/>
              </w:rPr>
              <w:t>Route</w:t>
            </w:r>
          </w:p>
        </w:tc>
        <w:tc>
          <w:tcPr>
            <w:tcW w:type="dxa" w:w="3312"/>
          </w:tcPr>
          <w:p>
            <w:pPr>
              <w:keepNext w:val="0"/>
              <w:spacing w:line="240" w:lineRule="auto" w:after="60"/>
            </w:pPr>
            <w:r>
              <w:rPr>
                <w:rFonts w:ascii="Times New Roman" w:hAnsi="Times New Roman"/>
                <w:sz w:val="18"/>
              </w:rPr>
              <w:t>RAG-Flow</w:t>
            </w:r>
          </w:p>
        </w:tc>
        <w:tc>
          <w:tcPr>
            <w:tcW w:type="dxa" w:w="3312"/>
          </w:tcPr>
          <w:p>
            <w:pPr>
              <w:keepNext w:val="0"/>
              <w:spacing w:line="240" w:lineRule="auto" w:after="60"/>
            </w:pPr>
            <w:r>
              <w:rPr>
                <w:rFonts w:ascii="Times New Roman" w:hAnsi="Times New Roman"/>
                <w:sz w:val="18"/>
              </w:rPr>
              <w:t>RAG-Gym</w:t>
            </w:r>
          </w:p>
        </w:tc>
      </w:tr>
    </w:tbl>
    <w:p>
      <w:pPr>
        <w:pStyle w:val="Heading2"/>
        <w:keepNext/>
      </w:pPr>
      <w:r>
        <w:t>Table S2. Expert Panel for Response-Quality Assessment and Framework Calibration</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656"/>
        <w:gridCol w:w="2016"/>
        <w:gridCol w:w="936"/>
        <w:gridCol w:w="2232"/>
        <w:gridCol w:w="1872"/>
      </w:tblGrid>
      <w:tr>
        <w:trPr>
          <w:tblHeader/>
          <w:cantSplit/>
        </w:trPr>
        <w:tc>
          <w:tcPr>
            <w:tcW w:type="dxa" w:w="648"/>
          </w:tcPr>
          <w:p>
            <w:pPr>
              <w:keepNext w:val="0"/>
              <w:spacing w:line="240" w:lineRule="auto" w:after="60"/>
            </w:pPr>
            <w:r>
              <w:rPr>
                <w:rFonts w:ascii="Times New Roman" w:hAnsi="Times New Roman"/>
                <w:b/>
                <w:sz w:val="18"/>
              </w:rPr>
              <w:t>Code</w:t>
            </w:r>
          </w:p>
        </w:tc>
        <w:tc>
          <w:tcPr>
            <w:tcW w:type="dxa" w:w="1656"/>
          </w:tcPr>
          <w:p>
            <w:pPr>
              <w:keepNext w:val="0"/>
              <w:spacing w:line="240" w:lineRule="auto" w:after="60"/>
            </w:pPr>
            <w:r>
              <w:rPr>
                <w:rFonts w:ascii="Times New Roman" w:hAnsi="Times New Roman"/>
                <w:b/>
                <w:sz w:val="18"/>
              </w:rPr>
              <w:t>Primary expertise</w:t>
            </w:r>
          </w:p>
        </w:tc>
        <w:tc>
          <w:tcPr>
            <w:tcW w:type="dxa" w:w="2016"/>
          </w:tcPr>
          <w:p>
            <w:pPr>
              <w:keepNext w:val="0"/>
              <w:spacing w:line="240" w:lineRule="auto" w:after="60"/>
            </w:pPr>
            <w:r>
              <w:rPr>
                <w:rFonts w:ascii="Times New Roman" w:hAnsi="Times New Roman"/>
                <w:b/>
                <w:sz w:val="18"/>
              </w:rPr>
              <w:t>Designation</w:t>
            </w:r>
          </w:p>
        </w:tc>
        <w:tc>
          <w:tcPr>
            <w:tcW w:type="dxa" w:w="936"/>
          </w:tcPr>
          <w:p>
            <w:pPr>
              <w:keepNext w:val="0"/>
              <w:spacing w:line="240" w:lineRule="auto" w:after="60"/>
            </w:pPr>
            <w:r>
              <w:rPr>
                <w:rFonts w:ascii="Times New Roman" w:hAnsi="Times New Roman"/>
                <w:b/>
                <w:sz w:val="18"/>
              </w:rPr>
              <w:t>Experience</w:t>
            </w:r>
          </w:p>
        </w:tc>
        <w:tc>
          <w:tcPr>
            <w:tcW w:type="dxa" w:w="2232"/>
          </w:tcPr>
          <w:p>
            <w:pPr>
              <w:keepNext w:val="0"/>
              <w:spacing w:line="240" w:lineRule="auto" w:after="60"/>
            </w:pPr>
            <w:r>
              <w:rPr>
                <w:rFonts w:ascii="Times New Roman" w:hAnsi="Times New Roman"/>
                <w:b/>
                <w:sz w:val="18"/>
              </w:rPr>
              <w:t>Primary perspective</w:t>
            </w:r>
          </w:p>
        </w:tc>
        <w:tc>
          <w:tcPr>
            <w:tcW w:type="dxa" w:w="1872"/>
          </w:tcPr>
          <w:p>
            <w:pPr>
              <w:keepNext w:val="0"/>
              <w:spacing w:line="240" w:lineRule="auto" w:after="60"/>
            </w:pPr>
            <w:r>
              <w:rPr>
                <w:rFonts w:ascii="Times New Roman" w:hAnsi="Times New Roman"/>
                <w:b/>
                <w:sz w:val="18"/>
              </w:rPr>
              <w:t>Role</w:t>
            </w:r>
          </w:p>
        </w:tc>
      </w:tr>
      <w:tr>
        <w:trPr>
          <w:cantSplit/>
        </w:trPr>
        <w:tc>
          <w:tcPr>
            <w:tcW w:type="dxa" w:w="648"/>
          </w:tcPr>
          <w:p>
            <w:pPr>
              <w:keepNext w:val="0"/>
              <w:spacing w:line="240" w:lineRule="auto" w:after="60"/>
            </w:pPr>
            <w:r>
              <w:rPr>
                <w:rFonts w:ascii="Times New Roman" w:hAnsi="Times New Roman"/>
                <w:sz w:val="18"/>
              </w:rPr>
              <w:t>E1</w:t>
            </w:r>
          </w:p>
        </w:tc>
        <w:tc>
          <w:tcPr>
            <w:tcW w:type="dxa" w:w="1656"/>
          </w:tcPr>
          <w:p>
            <w:pPr>
              <w:keepNext w:val="0"/>
              <w:spacing w:line="240" w:lineRule="auto" w:after="60"/>
            </w:pPr>
            <w:r>
              <w:rPr>
                <w:rFonts w:ascii="Times New Roman" w:hAnsi="Times New Roman"/>
                <w:sz w:val="18"/>
              </w:rPr>
              <w:t>Claims &amp; dispute resolution</w:t>
            </w:r>
          </w:p>
        </w:tc>
        <w:tc>
          <w:tcPr>
            <w:tcW w:type="dxa" w:w="2016"/>
          </w:tcPr>
          <w:p>
            <w:pPr>
              <w:keepNext w:val="0"/>
              <w:spacing w:line="240" w:lineRule="auto" w:after="60"/>
            </w:pPr>
            <w:r>
              <w:rPr>
                <w:rFonts w:ascii="Times New Roman" w:hAnsi="Times New Roman"/>
                <w:sz w:val="18"/>
              </w:rPr>
              <w:t>Senior Claims &amp; Dispute Resolution Consultant</w:t>
            </w:r>
          </w:p>
        </w:tc>
        <w:tc>
          <w:tcPr>
            <w:tcW w:type="dxa" w:w="936"/>
          </w:tcPr>
          <w:p>
            <w:pPr>
              <w:keepNext w:val="0"/>
              <w:spacing w:line="240" w:lineRule="auto" w:after="60"/>
            </w:pPr>
            <w:r>
              <w:rPr>
                <w:rFonts w:ascii="Times New Roman" w:hAnsi="Times New Roman"/>
                <w:sz w:val="18"/>
              </w:rPr>
              <w:t>25+ years</w:t>
            </w:r>
          </w:p>
        </w:tc>
        <w:tc>
          <w:tcPr>
            <w:tcW w:type="dxa" w:w="2232"/>
          </w:tcPr>
          <w:p>
            <w:pPr>
              <w:keepNext w:val="0"/>
              <w:spacing w:line="240" w:lineRule="auto" w:after="60"/>
            </w:pPr>
            <w:r>
              <w:rPr>
                <w:rFonts w:ascii="Times New Roman" w:hAnsi="Times New Roman"/>
                <w:sz w:val="18"/>
              </w:rPr>
              <w:t>FIDIC; claims; dispute avoidance</w:t>
            </w:r>
          </w:p>
        </w:tc>
        <w:tc>
          <w:tcPr>
            <w:tcW w:type="dxa" w:w="1872"/>
          </w:tcPr>
          <w:p>
            <w:pPr>
              <w:keepNext w:val="0"/>
              <w:spacing w:line="240" w:lineRule="auto" w:after="60"/>
            </w:pPr>
            <w:r>
              <w:rPr>
                <w:rFonts w:ascii="Times New Roman" w:hAnsi="Times New Roman"/>
                <w:sz w:val="18"/>
              </w:rPr>
              <w:t>Response-quality evaluators (raters)</w:t>
            </w:r>
          </w:p>
        </w:tc>
      </w:tr>
      <w:tr>
        <w:trPr>
          <w:cantSplit/>
        </w:trPr>
        <w:tc>
          <w:tcPr>
            <w:tcW w:type="dxa" w:w="648"/>
          </w:tcPr>
          <w:p>
            <w:pPr>
              <w:keepNext w:val="0"/>
              <w:spacing w:line="240" w:lineRule="auto" w:after="60"/>
            </w:pPr>
            <w:r>
              <w:rPr>
                <w:rFonts w:ascii="Times New Roman" w:hAnsi="Times New Roman"/>
                <w:sz w:val="18"/>
              </w:rPr>
              <w:t>E2</w:t>
            </w:r>
          </w:p>
        </w:tc>
        <w:tc>
          <w:tcPr>
            <w:tcW w:type="dxa" w:w="1656"/>
          </w:tcPr>
          <w:p>
            <w:pPr>
              <w:keepNext w:val="0"/>
              <w:spacing w:line="240" w:lineRule="auto" w:after="60"/>
            </w:pPr>
            <w:r>
              <w:rPr>
                <w:rFonts w:ascii="Times New Roman" w:hAnsi="Times New Roman"/>
                <w:sz w:val="18"/>
              </w:rPr>
              <w:t>Procurement &amp; contract administration</w:t>
            </w:r>
          </w:p>
        </w:tc>
        <w:tc>
          <w:tcPr>
            <w:tcW w:type="dxa" w:w="2016"/>
          </w:tcPr>
          <w:p>
            <w:pPr>
              <w:keepNext w:val="0"/>
              <w:spacing w:line="240" w:lineRule="auto" w:after="60"/>
            </w:pPr>
            <w:r>
              <w:rPr>
                <w:rFonts w:ascii="Times New Roman" w:hAnsi="Times New Roman"/>
                <w:sz w:val="18"/>
              </w:rPr>
              <w:t>Procurement &amp; Contract Management Specialist</w:t>
            </w:r>
          </w:p>
        </w:tc>
        <w:tc>
          <w:tcPr>
            <w:tcW w:type="dxa" w:w="936"/>
          </w:tcPr>
          <w:p>
            <w:pPr>
              <w:keepNext w:val="0"/>
              <w:spacing w:line="240" w:lineRule="auto" w:after="60"/>
            </w:pPr>
            <w:r>
              <w:rPr>
                <w:rFonts w:ascii="Times New Roman" w:hAnsi="Times New Roman"/>
                <w:sz w:val="18"/>
              </w:rPr>
              <w:t>10+ years</w:t>
            </w:r>
          </w:p>
        </w:tc>
        <w:tc>
          <w:tcPr>
            <w:tcW w:type="dxa" w:w="2232"/>
          </w:tcPr>
          <w:p>
            <w:pPr>
              <w:keepNext w:val="0"/>
              <w:spacing w:line="240" w:lineRule="auto" w:after="60"/>
            </w:pPr>
            <w:r>
              <w:rPr>
                <w:rFonts w:ascii="Times New Roman" w:hAnsi="Times New Roman"/>
                <w:sz w:val="18"/>
              </w:rPr>
              <w:t>Tender Evaluation; Contract administration</w:t>
            </w:r>
          </w:p>
        </w:tc>
        <w:tc>
          <w:tcPr>
            <w:tcW w:type="dxa" w:w="1872"/>
          </w:tcPr>
          <w:p>
            <w:pPr>
              <w:keepNext w:val="0"/>
              <w:spacing w:line="240" w:lineRule="auto" w:after="60"/>
            </w:pPr>
            <w:r>
              <w:rPr>
                <w:rFonts w:ascii="Times New Roman" w:hAnsi="Times New Roman"/>
                <w:sz w:val="18"/>
              </w:rPr>
              <w:t>Response-quality evaluators (raters)</w:t>
            </w:r>
          </w:p>
        </w:tc>
      </w:tr>
      <w:tr>
        <w:trPr>
          <w:cantSplit/>
        </w:trPr>
        <w:tc>
          <w:tcPr>
            <w:tcW w:type="dxa" w:w="648"/>
          </w:tcPr>
          <w:p>
            <w:pPr>
              <w:keepNext w:val="0"/>
              <w:spacing w:line="240" w:lineRule="auto" w:after="60"/>
            </w:pPr>
            <w:r>
              <w:rPr>
                <w:rFonts w:ascii="Times New Roman" w:hAnsi="Times New Roman"/>
                <w:sz w:val="18"/>
              </w:rPr>
              <w:t>E3</w:t>
            </w:r>
          </w:p>
        </w:tc>
        <w:tc>
          <w:tcPr>
            <w:tcW w:type="dxa" w:w="1656"/>
          </w:tcPr>
          <w:p>
            <w:pPr>
              <w:keepNext w:val="0"/>
              <w:spacing w:line="240" w:lineRule="auto" w:after="60"/>
            </w:pPr>
            <w:r>
              <w:rPr>
                <w:rFonts w:ascii="Times New Roman" w:hAnsi="Times New Roman"/>
                <w:sz w:val="18"/>
              </w:rPr>
              <w:t>Commercial Management, Construction claims &amp; dispute resolution</w:t>
            </w:r>
          </w:p>
        </w:tc>
        <w:tc>
          <w:tcPr>
            <w:tcW w:type="dxa" w:w="2016"/>
          </w:tcPr>
          <w:p>
            <w:pPr>
              <w:keepNext w:val="0"/>
              <w:spacing w:line="240" w:lineRule="auto" w:after="60"/>
            </w:pPr>
            <w:r>
              <w:rPr>
                <w:rFonts w:ascii="Times New Roman" w:hAnsi="Times New Roman"/>
                <w:sz w:val="18"/>
              </w:rPr>
              <w:t>Commercial Director</w:t>
            </w:r>
          </w:p>
        </w:tc>
        <w:tc>
          <w:tcPr>
            <w:tcW w:type="dxa" w:w="936"/>
          </w:tcPr>
          <w:p>
            <w:pPr>
              <w:keepNext w:val="0"/>
              <w:spacing w:line="240" w:lineRule="auto" w:after="60"/>
            </w:pPr>
            <w:r>
              <w:rPr>
                <w:rFonts w:ascii="Times New Roman" w:hAnsi="Times New Roman"/>
                <w:sz w:val="18"/>
              </w:rPr>
              <w:t>25+ years</w:t>
            </w:r>
          </w:p>
        </w:tc>
        <w:tc>
          <w:tcPr>
            <w:tcW w:type="dxa" w:w="2232"/>
          </w:tcPr>
          <w:p>
            <w:pPr>
              <w:keepNext w:val="0"/>
              <w:spacing w:line="240" w:lineRule="auto" w:after="60"/>
            </w:pPr>
            <w:r>
              <w:rPr>
                <w:rFonts w:ascii="Times New Roman" w:hAnsi="Times New Roman"/>
                <w:sz w:val="18"/>
              </w:rPr>
              <w:t>Commercial governance; forensic claims</w:t>
            </w:r>
          </w:p>
        </w:tc>
        <w:tc>
          <w:tcPr>
            <w:tcW w:type="dxa" w:w="1872"/>
          </w:tcPr>
          <w:p>
            <w:pPr>
              <w:keepNext w:val="0"/>
              <w:spacing w:line="240" w:lineRule="auto" w:after="60"/>
            </w:pPr>
            <w:r>
              <w:rPr>
                <w:rFonts w:ascii="Times New Roman" w:hAnsi="Times New Roman"/>
                <w:sz w:val="18"/>
              </w:rPr>
              <w:t>Response-quality evaluators (raters)</w:t>
            </w:r>
          </w:p>
        </w:tc>
      </w:tr>
      <w:tr>
        <w:trPr>
          <w:cantSplit/>
        </w:trPr>
        <w:tc>
          <w:tcPr>
            <w:tcW w:type="dxa" w:w="648"/>
          </w:tcPr>
          <w:p>
            <w:pPr>
              <w:keepNext w:val="0"/>
              <w:spacing w:line="240" w:lineRule="auto" w:after="60"/>
            </w:pPr>
            <w:r>
              <w:rPr>
                <w:rFonts w:ascii="Times New Roman" w:hAnsi="Times New Roman"/>
                <w:sz w:val="18"/>
              </w:rPr>
              <w:t>E4</w:t>
            </w:r>
          </w:p>
        </w:tc>
        <w:tc>
          <w:tcPr>
            <w:tcW w:type="dxa" w:w="1656"/>
          </w:tcPr>
          <w:p>
            <w:pPr>
              <w:keepNext w:val="0"/>
              <w:spacing w:line="240" w:lineRule="auto" w:after="60"/>
            </w:pPr>
            <w:r>
              <w:rPr>
                <w:rFonts w:ascii="Times New Roman" w:hAnsi="Times New Roman"/>
                <w:sz w:val="18"/>
              </w:rPr>
              <w:t>Contract administration &amp; dispute resolution</w:t>
            </w:r>
          </w:p>
        </w:tc>
        <w:tc>
          <w:tcPr>
            <w:tcW w:type="dxa" w:w="2016"/>
          </w:tcPr>
          <w:p>
            <w:pPr>
              <w:keepNext w:val="0"/>
              <w:spacing w:line="240" w:lineRule="auto" w:after="60"/>
            </w:pPr>
            <w:r>
              <w:rPr>
                <w:rFonts w:ascii="Times New Roman" w:hAnsi="Times New Roman"/>
                <w:sz w:val="18"/>
              </w:rPr>
              <w:t>Senior Contracts Manager</w:t>
            </w:r>
          </w:p>
        </w:tc>
        <w:tc>
          <w:tcPr>
            <w:tcW w:type="dxa" w:w="936"/>
          </w:tcPr>
          <w:p>
            <w:pPr>
              <w:keepNext w:val="0"/>
              <w:spacing w:line="240" w:lineRule="auto" w:after="60"/>
            </w:pPr>
            <w:r>
              <w:rPr>
                <w:rFonts w:ascii="Times New Roman" w:hAnsi="Times New Roman"/>
                <w:sz w:val="18"/>
              </w:rPr>
              <w:t>17+ years</w:t>
            </w:r>
          </w:p>
        </w:tc>
        <w:tc>
          <w:tcPr>
            <w:tcW w:type="dxa" w:w="2232"/>
          </w:tcPr>
          <w:p>
            <w:pPr>
              <w:keepNext w:val="0"/>
              <w:spacing w:line="240" w:lineRule="auto" w:after="60"/>
            </w:pPr>
            <w:r>
              <w:rPr>
                <w:rFonts w:ascii="Times New Roman" w:hAnsi="Times New Roman"/>
                <w:sz w:val="18"/>
              </w:rPr>
              <w:t>Contract administration</w:t>
            </w:r>
          </w:p>
        </w:tc>
        <w:tc>
          <w:tcPr>
            <w:tcW w:type="dxa" w:w="1872"/>
          </w:tcPr>
          <w:p>
            <w:pPr>
              <w:keepNext w:val="0"/>
              <w:spacing w:line="240" w:lineRule="auto" w:after="60"/>
            </w:pPr>
            <w:r>
              <w:rPr>
                <w:rFonts w:ascii="Times New Roman" w:hAnsi="Times New Roman"/>
                <w:sz w:val="18"/>
              </w:rPr>
              <w:t>Response-quality evaluators (raters)</w:t>
            </w:r>
          </w:p>
        </w:tc>
      </w:tr>
      <w:tr>
        <w:trPr>
          <w:cantSplit/>
        </w:trPr>
        <w:tc>
          <w:tcPr>
            <w:tcW w:type="dxa" w:w="648"/>
          </w:tcPr>
          <w:p>
            <w:pPr>
              <w:keepNext w:val="0"/>
              <w:spacing w:line="240" w:lineRule="auto" w:after="60"/>
            </w:pPr>
            <w:r>
              <w:rPr>
                <w:rFonts w:ascii="Times New Roman" w:hAnsi="Times New Roman"/>
                <w:sz w:val="18"/>
              </w:rPr>
              <w:t>E5</w:t>
            </w:r>
          </w:p>
        </w:tc>
        <w:tc>
          <w:tcPr>
            <w:tcW w:type="dxa" w:w="1656"/>
          </w:tcPr>
          <w:p>
            <w:pPr>
              <w:keepNext w:val="0"/>
              <w:spacing w:line="240" w:lineRule="auto" w:after="60"/>
            </w:pPr>
            <w:r>
              <w:rPr>
                <w:rFonts w:ascii="Times New Roman" w:hAnsi="Times New Roman"/>
                <w:sz w:val="18"/>
              </w:rPr>
              <w:t>Procurement &amp; contract administration</w:t>
            </w:r>
          </w:p>
        </w:tc>
        <w:tc>
          <w:tcPr>
            <w:tcW w:type="dxa" w:w="2016"/>
          </w:tcPr>
          <w:p>
            <w:pPr>
              <w:keepNext w:val="0"/>
              <w:spacing w:line="240" w:lineRule="auto" w:after="60"/>
            </w:pPr>
            <w:r>
              <w:rPr>
                <w:rFonts w:ascii="Times New Roman" w:hAnsi="Times New Roman"/>
                <w:sz w:val="18"/>
              </w:rPr>
              <w:t>Senior Contract Management Consultant</w:t>
            </w:r>
          </w:p>
        </w:tc>
        <w:tc>
          <w:tcPr>
            <w:tcW w:type="dxa" w:w="936"/>
          </w:tcPr>
          <w:p>
            <w:pPr>
              <w:keepNext w:val="0"/>
              <w:spacing w:line="240" w:lineRule="auto" w:after="60"/>
            </w:pPr>
            <w:r>
              <w:rPr>
                <w:rFonts w:ascii="Times New Roman" w:hAnsi="Times New Roman"/>
                <w:sz w:val="18"/>
              </w:rPr>
              <w:t>20+ years</w:t>
            </w:r>
          </w:p>
        </w:tc>
        <w:tc>
          <w:tcPr>
            <w:tcW w:type="dxa" w:w="2232"/>
          </w:tcPr>
          <w:p>
            <w:pPr>
              <w:keepNext w:val="0"/>
              <w:spacing w:line="240" w:lineRule="auto" w:after="60"/>
            </w:pPr>
            <w:r>
              <w:rPr>
                <w:rFonts w:ascii="Times New Roman" w:hAnsi="Times New Roman"/>
                <w:sz w:val="18"/>
              </w:rPr>
              <w:t>Tender Evaluation; Contract administration</w:t>
            </w:r>
          </w:p>
        </w:tc>
        <w:tc>
          <w:tcPr>
            <w:tcW w:type="dxa" w:w="1872"/>
          </w:tcPr>
          <w:p>
            <w:pPr>
              <w:keepNext w:val="0"/>
              <w:spacing w:line="240" w:lineRule="auto" w:after="60"/>
            </w:pPr>
            <w:r>
              <w:rPr>
                <w:rFonts w:ascii="Times New Roman" w:hAnsi="Times New Roman"/>
                <w:sz w:val="18"/>
              </w:rPr>
              <w:t>Response-quality evaluators (raters)</w:t>
            </w:r>
          </w:p>
        </w:tc>
      </w:tr>
      <w:tr>
        <w:trPr>
          <w:cantSplit/>
        </w:trPr>
        <w:tc>
          <w:tcPr>
            <w:tcW w:type="dxa" w:w="648"/>
          </w:tcPr>
          <w:p>
            <w:pPr>
              <w:keepNext w:val="0"/>
              <w:spacing w:line="240" w:lineRule="auto" w:after="60"/>
            </w:pPr>
            <w:r>
              <w:rPr>
                <w:rFonts w:ascii="Times New Roman" w:hAnsi="Times New Roman"/>
                <w:sz w:val="18"/>
              </w:rPr>
              <w:t>E6</w:t>
            </w:r>
          </w:p>
        </w:tc>
        <w:tc>
          <w:tcPr>
            <w:tcW w:type="dxa" w:w="1656"/>
          </w:tcPr>
          <w:p>
            <w:pPr>
              <w:keepNext w:val="0"/>
              <w:spacing w:line="240" w:lineRule="auto" w:after="60"/>
            </w:pPr>
            <w:r>
              <w:rPr>
                <w:rFonts w:ascii="Times New Roman" w:hAnsi="Times New Roman"/>
                <w:sz w:val="18"/>
              </w:rPr>
              <w:t>Arbitration, Adjudication &amp; Mediation</w:t>
            </w:r>
          </w:p>
        </w:tc>
        <w:tc>
          <w:tcPr>
            <w:tcW w:type="dxa" w:w="2016"/>
          </w:tcPr>
          <w:p>
            <w:pPr>
              <w:keepNext w:val="0"/>
              <w:spacing w:line="240" w:lineRule="auto" w:after="60"/>
            </w:pPr>
            <w:r>
              <w:rPr>
                <w:rFonts w:ascii="Times New Roman" w:hAnsi="Times New Roman"/>
                <w:sz w:val="18"/>
              </w:rPr>
              <w:t>Construction Contracts Consultant / Arbitrator</w:t>
            </w:r>
          </w:p>
        </w:tc>
        <w:tc>
          <w:tcPr>
            <w:tcW w:type="dxa" w:w="936"/>
          </w:tcPr>
          <w:p>
            <w:pPr>
              <w:keepNext w:val="0"/>
              <w:spacing w:line="240" w:lineRule="auto" w:after="60"/>
            </w:pPr>
            <w:r>
              <w:rPr>
                <w:rFonts w:ascii="Times New Roman" w:hAnsi="Times New Roman"/>
                <w:sz w:val="18"/>
              </w:rPr>
              <w:t>30+ Years</w:t>
            </w:r>
          </w:p>
        </w:tc>
        <w:tc>
          <w:tcPr>
            <w:tcW w:type="dxa" w:w="2232"/>
          </w:tcPr>
          <w:p>
            <w:pPr>
              <w:keepNext w:val="0"/>
              <w:spacing w:line="240" w:lineRule="auto" w:after="60"/>
            </w:pPr>
            <w:r>
              <w:rPr>
                <w:rFonts w:ascii="Times New Roman" w:hAnsi="Times New Roman"/>
                <w:sz w:val="18"/>
              </w:rPr>
              <w:t>Contract administration; Dispute resolution</w:t>
            </w:r>
          </w:p>
        </w:tc>
        <w:tc>
          <w:tcPr>
            <w:tcW w:type="dxa" w:w="1872"/>
          </w:tcPr>
          <w:p>
            <w:pPr>
              <w:keepNext w:val="0"/>
              <w:spacing w:line="240" w:lineRule="auto" w:after="60"/>
            </w:pPr>
            <w:r>
              <w:rPr>
                <w:rFonts w:ascii="Times New Roman" w:hAnsi="Times New Roman"/>
                <w:sz w:val="18"/>
              </w:rPr>
              <w:t>Domain experts for empirical PRM agreement study</w:t>
            </w:r>
          </w:p>
        </w:tc>
      </w:tr>
      <w:tr>
        <w:trPr>
          <w:cantSplit/>
        </w:trPr>
        <w:tc>
          <w:tcPr>
            <w:tcW w:type="dxa" w:w="648"/>
          </w:tcPr>
          <w:p>
            <w:pPr>
              <w:keepNext w:val="0"/>
              <w:spacing w:line="240" w:lineRule="auto" w:after="60"/>
            </w:pPr>
            <w:r>
              <w:rPr>
                <w:rFonts w:ascii="Times New Roman" w:hAnsi="Times New Roman"/>
                <w:sz w:val="18"/>
              </w:rPr>
              <w:t>E7</w:t>
            </w:r>
          </w:p>
        </w:tc>
        <w:tc>
          <w:tcPr>
            <w:tcW w:type="dxa" w:w="1656"/>
          </w:tcPr>
          <w:p>
            <w:pPr>
              <w:keepNext w:val="0"/>
              <w:spacing w:line="240" w:lineRule="auto" w:after="60"/>
            </w:pPr>
            <w:r>
              <w:rPr>
                <w:rFonts w:ascii="Times New Roman" w:hAnsi="Times New Roman"/>
                <w:sz w:val="18"/>
              </w:rPr>
              <w:t>Contractor Commercial Management</w:t>
            </w:r>
          </w:p>
        </w:tc>
        <w:tc>
          <w:tcPr>
            <w:tcW w:type="dxa" w:w="2016"/>
          </w:tcPr>
          <w:p>
            <w:pPr>
              <w:keepNext w:val="0"/>
              <w:spacing w:line="240" w:lineRule="auto" w:after="60"/>
            </w:pPr>
            <w:r>
              <w:rPr>
                <w:rFonts w:ascii="Times New Roman" w:hAnsi="Times New Roman"/>
                <w:sz w:val="18"/>
              </w:rPr>
              <w:t>Senior Commercial Manager (Contractor)</w:t>
            </w:r>
          </w:p>
        </w:tc>
        <w:tc>
          <w:tcPr>
            <w:tcW w:type="dxa" w:w="936"/>
          </w:tcPr>
          <w:p>
            <w:pPr>
              <w:keepNext w:val="0"/>
              <w:spacing w:line="240" w:lineRule="auto" w:after="60"/>
            </w:pPr>
            <w:r>
              <w:rPr>
                <w:rFonts w:ascii="Times New Roman" w:hAnsi="Times New Roman"/>
                <w:sz w:val="18"/>
              </w:rPr>
              <w:t>13+ Years</w:t>
            </w:r>
          </w:p>
        </w:tc>
        <w:tc>
          <w:tcPr>
            <w:tcW w:type="dxa" w:w="2232"/>
          </w:tcPr>
          <w:p>
            <w:pPr>
              <w:keepNext w:val="0"/>
              <w:spacing w:line="240" w:lineRule="auto" w:after="60"/>
            </w:pPr>
            <w:r>
              <w:rPr>
                <w:rFonts w:ascii="Times New Roman" w:hAnsi="Times New Roman"/>
                <w:sz w:val="18"/>
              </w:rPr>
              <w:t>Contractor commercial management and cost control</w:t>
            </w:r>
          </w:p>
        </w:tc>
        <w:tc>
          <w:tcPr>
            <w:tcW w:type="dxa" w:w="1872"/>
          </w:tcPr>
          <w:p>
            <w:pPr>
              <w:keepNext w:val="0"/>
              <w:spacing w:line="240" w:lineRule="auto" w:after="60"/>
            </w:pPr>
            <w:r>
              <w:rPr>
                <w:rFonts w:ascii="Times New Roman" w:hAnsi="Times New Roman"/>
                <w:sz w:val="18"/>
              </w:rPr>
              <w:t>Domain experts for empirical PRM agreement study</w:t>
            </w:r>
          </w:p>
        </w:tc>
      </w:tr>
      <w:tr>
        <w:trPr>
          <w:cantSplit/>
        </w:trPr>
        <w:tc>
          <w:tcPr>
            <w:tcW w:type="dxa" w:w="648"/>
          </w:tcPr>
          <w:p>
            <w:pPr>
              <w:keepNext w:val="0"/>
              <w:spacing w:line="240" w:lineRule="auto" w:after="60"/>
            </w:pPr>
            <w:r>
              <w:rPr>
                <w:rFonts w:ascii="Times New Roman" w:hAnsi="Times New Roman"/>
                <w:sz w:val="18"/>
              </w:rPr>
              <w:t>E8</w:t>
            </w:r>
          </w:p>
        </w:tc>
        <w:tc>
          <w:tcPr>
            <w:tcW w:type="dxa" w:w="1656"/>
          </w:tcPr>
          <w:p>
            <w:pPr>
              <w:keepNext w:val="0"/>
              <w:spacing w:line="240" w:lineRule="auto" w:after="60"/>
            </w:pPr>
            <w:r>
              <w:rPr>
                <w:rFonts w:ascii="Times New Roman" w:hAnsi="Times New Roman"/>
                <w:sz w:val="18"/>
              </w:rPr>
              <w:t>Client-side Cost Consultancy &amp; Development Economics</w:t>
            </w:r>
          </w:p>
        </w:tc>
        <w:tc>
          <w:tcPr>
            <w:tcW w:type="dxa" w:w="2016"/>
          </w:tcPr>
          <w:p>
            <w:pPr>
              <w:keepNext w:val="0"/>
              <w:spacing w:line="240" w:lineRule="auto" w:after="60"/>
            </w:pPr>
            <w:r>
              <w:rPr>
                <w:rFonts w:ascii="Times New Roman" w:hAnsi="Times New Roman"/>
                <w:sz w:val="18"/>
              </w:rPr>
              <w:t>Client-side Quantity Surveyor / Development Cost Consultant</w:t>
            </w:r>
          </w:p>
        </w:tc>
        <w:tc>
          <w:tcPr>
            <w:tcW w:type="dxa" w:w="936"/>
          </w:tcPr>
          <w:p>
            <w:pPr>
              <w:keepNext w:val="0"/>
              <w:spacing w:line="240" w:lineRule="auto" w:after="60"/>
            </w:pPr>
            <w:r>
              <w:rPr>
                <w:rFonts w:ascii="Times New Roman" w:hAnsi="Times New Roman"/>
                <w:sz w:val="18"/>
              </w:rPr>
              <w:t>10+ Years</w:t>
            </w:r>
          </w:p>
        </w:tc>
        <w:tc>
          <w:tcPr>
            <w:tcW w:type="dxa" w:w="2232"/>
          </w:tcPr>
          <w:p>
            <w:pPr>
              <w:keepNext w:val="0"/>
              <w:spacing w:line="240" w:lineRule="auto" w:after="60"/>
            </w:pPr>
            <w:r>
              <w:rPr>
                <w:rFonts w:ascii="Times New Roman" w:hAnsi="Times New Roman"/>
                <w:sz w:val="18"/>
              </w:rPr>
              <w:t>Cost consultancy, feasibility study, whole-life costing</w:t>
            </w:r>
          </w:p>
        </w:tc>
        <w:tc>
          <w:tcPr>
            <w:tcW w:type="dxa" w:w="1872"/>
          </w:tcPr>
          <w:p>
            <w:pPr>
              <w:keepNext w:val="0"/>
              <w:spacing w:line="240" w:lineRule="auto" w:after="60"/>
            </w:pPr>
            <w:r>
              <w:rPr>
                <w:rFonts w:ascii="Times New Roman" w:hAnsi="Times New Roman"/>
                <w:sz w:val="18"/>
              </w:rPr>
              <w:t>Domain experts for empirical PRM agreement study</w:t>
            </w:r>
          </w:p>
        </w:tc>
      </w:tr>
    </w:tbl>
    <w:p>
      <w:pPr>
        <w:pStyle w:val="Heading2"/>
        <w:keepNext/>
      </w:pPr>
      <w:r>
        <w:t>Table S3. Query-bootstrap 95% confidence intervals for stratum median latency in seconds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2484"/>
          </w:tcPr>
          <w:p>
            <w:pPr>
              <w:keepNext w:val="0"/>
              <w:spacing w:line="240" w:lineRule="auto" w:after="60"/>
            </w:pPr>
            <w:r>
              <w:rPr>
                <w:rFonts w:ascii="Times New Roman" w:hAnsi="Times New Roman"/>
                <w:b/>
                <w:sz w:val="18"/>
              </w:rPr>
              <w:t>System</w:t>
            </w:r>
          </w:p>
        </w:tc>
        <w:tc>
          <w:tcPr>
            <w:tcW w:type="dxa" w:w="2484"/>
          </w:tcPr>
          <w:p>
            <w:pPr>
              <w:keepNext w:val="0"/>
              <w:spacing w:line="240" w:lineRule="auto" w:after="60"/>
            </w:pPr>
            <w:r>
              <w:rPr>
                <w:rFonts w:ascii="Times New Roman" w:hAnsi="Times New Roman"/>
                <w:b/>
                <w:sz w:val="18"/>
              </w:rPr>
              <w:t>Simple</w:t>
            </w:r>
          </w:p>
        </w:tc>
        <w:tc>
          <w:tcPr>
            <w:tcW w:type="dxa" w:w="2484"/>
          </w:tcPr>
          <w:p>
            <w:pPr>
              <w:keepNext w:val="0"/>
              <w:spacing w:line="240" w:lineRule="auto" w:after="60"/>
            </w:pPr>
            <w:r>
              <w:rPr>
                <w:rFonts w:ascii="Times New Roman" w:hAnsi="Times New Roman"/>
                <w:b/>
                <w:sz w:val="18"/>
              </w:rPr>
              <w:t>Borderline</w:t>
            </w:r>
          </w:p>
        </w:tc>
        <w:tc>
          <w:tcPr>
            <w:tcW w:type="dxa" w:w="2484"/>
          </w:tcPr>
          <w:p>
            <w:pPr>
              <w:keepNext w:val="0"/>
              <w:spacing w:line="240" w:lineRule="auto" w:after="60"/>
            </w:pPr>
            <w:r>
              <w:rPr>
                <w:rFonts w:ascii="Times New Roman" w:hAnsi="Times New Roman"/>
                <w:b/>
                <w:sz w:val="18"/>
              </w:rPr>
              <w:t>Complex</w:t>
            </w:r>
          </w:p>
        </w:tc>
      </w:tr>
      <w:tr>
        <w:trPr>
          <w:cantSplit/>
        </w:trPr>
        <w:tc>
          <w:tcPr>
            <w:tcW w:type="dxa" w:w="2484"/>
          </w:tcPr>
          <w:p>
            <w:pPr>
              <w:keepNext w:val="0"/>
              <w:spacing w:line="240" w:lineRule="auto" w:after="60"/>
            </w:pPr>
            <w:r>
              <w:rPr>
                <w:rFonts w:ascii="Times New Roman" w:hAnsi="Times New Roman"/>
                <w:sz w:val="18"/>
              </w:rPr>
              <w:t>RAG-Flow</w:t>
            </w:r>
          </w:p>
        </w:tc>
        <w:tc>
          <w:tcPr>
            <w:tcW w:type="dxa" w:w="2484"/>
          </w:tcPr>
          <w:p>
            <w:pPr>
              <w:keepNext w:val="0"/>
              <w:spacing w:line="240" w:lineRule="auto" w:after="60"/>
            </w:pPr>
            <w:r>
              <w:rPr>
                <w:rFonts w:ascii="Times New Roman" w:hAnsi="Times New Roman"/>
                <w:sz w:val="18"/>
              </w:rPr>
              <w:t>5.35–7.00</w:t>
            </w:r>
          </w:p>
        </w:tc>
        <w:tc>
          <w:tcPr>
            <w:tcW w:type="dxa" w:w="2484"/>
          </w:tcPr>
          <w:p>
            <w:pPr>
              <w:keepNext w:val="0"/>
              <w:spacing w:line="240" w:lineRule="auto" w:after="60"/>
            </w:pPr>
            <w:r>
              <w:rPr>
                <w:rFonts w:ascii="Times New Roman" w:hAnsi="Times New Roman"/>
                <w:sz w:val="18"/>
              </w:rPr>
              <w:t>5.24–10.17</w:t>
            </w:r>
          </w:p>
        </w:tc>
        <w:tc>
          <w:tcPr>
            <w:tcW w:type="dxa" w:w="2484"/>
          </w:tcPr>
          <w:p>
            <w:pPr>
              <w:keepNext w:val="0"/>
              <w:spacing w:line="240" w:lineRule="auto" w:after="60"/>
            </w:pPr>
            <w:r>
              <w:rPr>
                <w:rFonts w:ascii="Times New Roman" w:hAnsi="Times New Roman"/>
                <w:sz w:val="18"/>
              </w:rPr>
              <w:t>10.53–11.64</w:t>
            </w:r>
          </w:p>
        </w:tc>
      </w:tr>
      <w:tr>
        <w:trPr>
          <w:cantSplit/>
        </w:trPr>
        <w:tc>
          <w:tcPr>
            <w:tcW w:type="dxa" w:w="2484"/>
          </w:tcPr>
          <w:p>
            <w:pPr>
              <w:keepNext w:val="0"/>
              <w:spacing w:line="240" w:lineRule="auto" w:after="60"/>
            </w:pPr>
            <w:r>
              <w:rPr>
                <w:rFonts w:ascii="Times New Roman" w:hAnsi="Times New Roman"/>
                <w:sz w:val="18"/>
              </w:rPr>
              <w:t>RAG-Gym</w:t>
            </w:r>
          </w:p>
        </w:tc>
        <w:tc>
          <w:tcPr>
            <w:tcW w:type="dxa" w:w="2484"/>
          </w:tcPr>
          <w:p>
            <w:pPr>
              <w:keepNext w:val="0"/>
              <w:spacing w:line="240" w:lineRule="auto" w:after="60"/>
            </w:pPr>
            <w:r>
              <w:rPr>
                <w:rFonts w:ascii="Times New Roman" w:hAnsi="Times New Roman"/>
                <w:sz w:val="18"/>
              </w:rPr>
              <w:t>91.03–120.04</w:t>
            </w:r>
          </w:p>
        </w:tc>
        <w:tc>
          <w:tcPr>
            <w:tcW w:type="dxa" w:w="2484"/>
          </w:tcPr>
          <w:p>
            <w:pPr>
              <w:keepNext w:val="0"/>
              <w:spacing w:line="240" w:lineRule="auto" w:after="60"/>
            </w:pPr>
            <w:r>
              <w:rPr>
                <w:rFonts w:ascii="Times New Roman" w:hAnsi="Times New Roman"/>
                <w:sz w:val="18"/>
              </w:rPr>
              <w:t>107.53–121.79</w:t>
            </w:r>
          </w:p>
        </w:tc>
        <w:tc>
          <w:tcPr>
            <w:tcW w:type="dxa" w:w="2484"/>
          </w:tcPr>
          <w:p>
            <w:pPr>
              <w:keepNext w:val="0"/>
              <w:spacing w:line="240" w:lineRule="auto" w:after="60"/>
            </w:pPr>
            <w:r>
              <w:rPr>
                <w:rFonts w:ascii="Times New Roman" w:hAnsi="Times New Roman"/>
                <w:sz w:val="18"/>
              </w:rPr>
              <w:t>116.25–136.12</w:t>
            </w:r>
          </w:p>
        </w:tc>
      </w:tr>
      <w:tr>
        <w:trPr>
          <w:cantSplit/>
        </w:trPr>
        <w:tc>
          <w:tcPr>
            <w:tcW w:type="dxa" w:w="2484"/>
          </w:tcPr>
          <w:p>
            <w:pPr>
              <w:keepNext w:val="0"/>
              <w:spacing w:line="240" w:lineRule="auto" w:after="60"/>
            </w:pPr>
            <w:r>
              <w:rPr>
                <w:rFonts w:ascii="Times New Roman" w:hAnsi="Times New Roman"/>
                <w:sz w:val="18"/>
              </w:rPr>
              <w:t>Mistral</w:t>
            </w:r>
          </w:p>
        </w:tc>
        <w:tc>
          <w:tcPr>
            <w:tcW w:type="dxa" w:w="2484"/>
          </w:tcPr>
          <w:p>
            <w:pPr>
              <w:keepNext w:val="0"/>
              <w:spacing w:line="240" w:lineRule="auto" w:after="60"/>
            </w:pPr>
            <w:r>
              <w:rPr>
                <w:rFonts w:ascii="Times New Roman" w:hAnsi="Times New Roman"/>
                <w:sz w:val="18"/>
              </w:rPr>
              <w:t>11.41–16.52</w:t>
            </w:r>
          </w:p>
        </w:tc>
        <w:tc>
          <w:tcPr>
            <w:tcW w:type="dxa" w:w="2484"/>
          </w:tcPr>
          <w:p>
            <w:pPr>
              <w:keepNext w:val="0"/>
              <w:spacing w:line="240" w:lineRule="auto" w:after="60"/>
            </w:pPr>
            <w:r>
              <w:rPr>
                <w:rFonts w:ascii="Times New Roman" w:hAnsi="Times New Roman"/>
                <w:sz w:val="18"/>
              </w:rPr>
              <w:t>17.22–19.91</w:t>
            </w:r>
          </w:p>
        </w:tc>
        <w:tc>
          <w:tcPr>
            <w:tcW w:type="dxa" w:w="2484"/>
          </w:tcPr>
          <w:p>
            <w:pPr>
              <w:keepNext w:val="0"/>
              <w:spacing w:line="240" w:lineRule="auto" w:after="60"/>
            </w:pPr>
            <w:r>
              <w:rPr>
                <w:rFonts w:ascii="Times New Roman" w:hAnsi="Times New Roman"/>
                <w:sz w:val="18"/>
              </w:rPr>
              <w:t>17.19–17.91</w:t>
            </w:r>
          </w:p>
        </w:tc>
      </w:tr>
      <w:tr>
        <w:trPr>
          <w:cantSplit/>
        </w:trPr>
        <w:tc>
          <w:tcPr>
            <w:tcW w:type="dxa" w:w="2484"/>
          </w:tcPr>
          <w:p>
            <w:pPr>
              <w:keepNext w:val="0"/>
              <w:spacing w:line="240" w:lineRule="auto" w:after="60"/>
            </w:pPr>
            <w:r>
              <w:rPr>
                <w:rFonts w:ascii="Times New Roman" w:hAnsi="Times New Roman"/>
                <w:sz w:val="18"/>
              </w:rPr>
              <w:t>GPT-5.2</w:t>
            </w:r>
          </w:p>
        </w:tc>
        <w:tc>
          <w:tcPr>
            <w:tcW w:type="dxa" w:w="2484"/>
          </w:tcPr>
          <w:p>
            <w:pPr>
              <w:keepNext w:val="0"/>
              <w:spacing w:line="240" w:lineRule="auto" w:after="60"/>
            </w:pPr>
            <w:r>
              <w:rPr>
                <w:rFonts w:ascii="Times New Roman" w:hAnsi="Times New Roman"/>
                <w:sz w:val="18"/>
              </w:rPr>
              <w:t>2.88–5.62</w:t>
            </w:r>
          </w:p>
        </w:tc>
        <w:tc>
          <w:tcPr>
            <w:tcW w:type="dxa" w:w="2484"/>
          </w:tcPr>
          <w:p>
            <w:pPr>
              <w:keepNext w:val="0"/>
              <w:spacing w:line="240" w:lineRule="auto" w:after="60"/>
            </w:pPr>
            <w:r>
              <w:rPr>
                <w:rFonts w:ascii="Times New Roman" w:hAnsi="Times New Roman"/>
                <w:sz w:val="18"/>
              </w:rPr>
              <w:t>9.63–11.91</w:t>
            </w:r>
          </w:p>
        </w:tc>
        <w:tc>
          <w:tcPr>
            <w:tcW w:type="dxa" w:w="2484"/>
          </w:tcPr>
          <w:p>
            <w:pPr>
              <w:keepNext w:val="0"/>
              <w:spacing w:line="240" w:lineRule="auto" w:after="60"/>
            </w:pPr>
            <w:r>
              <w:rPr>
                <w:rFonts w:ascii="Times New Roman" w:hAnsi="Times New Roman"/>
                <w:sz w:val="18"/>
              </w:rPr>
              <w:t>16.51–19.56</w:t>
            </w:r>
          </w:p>
        </w:tc>
      </w:tr>
      <w:tr>
        <w:trPr>
          <w:cantSplit/>
        </w:trPr>
        <w:tc>
          <w:tcPr>
            <w:tcW w:type="dxa" w:w="2484"/>
          </w:tcPr>
          <w:p>
            <w:pPr>
              <w:keepNext w:val="0"/>
              <w:spacing w:line="240" w:lineRule="auto" w:after="60"/>
            </w:pPr>
            <w:r>
              <w:rPr>
                <w:rFonts w:ascii="Times New Roman" w:hAnsi="Times New Roman"/>
                <w:sz w:val="18"/>
              </w:rPr>
              <w:t>ARA</w:t>
            </w:r>
          </w:p>
        </w:tc>
        <w:tc>
          <w:tcPr>
            <w:tcW w:type="dxa" w:w="2484"/>
          </w:tcPr>
          <w:p>
            <w:pPr>
              <w:keepNext w:val="0"/>
              <w:spacing w:line="240" w:lineRule="auto" w:after="60"/>
            </w:pPr>
            <w:r>
              <w:rPr>
                <w:rFonts w:ascii="Times New Roman" w:hAnsi="Times New Roman"/>
                <w:sz w:val="18"/>
              </w:rPr>
              <w:t>4.82–6.98</w:t>
            </w:r>
          </w:p>
        </w:tc>
        <w:tc>
          <w:tcPr>
            <w:tcW w:type="dxa" w:w="2484"/>
          </w:tcPr>
          <w:p>
            <w:pPr>
              <w:keepNext w:val="0"/>
              <w:spacing w:line="240" w:lineRule="auto" w:after="60"/>
            </w:pPr>
            <w:r>
              <w:rPr>
                <w:rFonts w:ascii="Times New Roman" w:hAnsi="Times New Roman"/>
                <w:sz w:val="18"/>
              </w:rPr>
              <w:t>6.29–117.88</w:t>
            </w:r>
          </w:p>
        </w:tc>
        <w:tc>
          <w:tcPr>
            <w:tcW w:type="dxa" w:w="2484"/>
          </w:tcPr>
          <w:p>
            <w:pPr>
              <w:keepNext w:val="0"/>
              <w:spacing w:line="240" w:lineRule="auto" w:after="60"/>
            </w:pPr>
            <w:r>
              <w:rPr>
                <w:rFonts w:ascii="Times New Roman" w:hAnsi="Times New Roman"/>
                <w:sz w:val="18"/>
              </w:rPr>
              <w:t>116.41–135.00</w:t>
            </w:r>
          </w:p>
        </w:tc>
      </w:tr>
    </w:tbl>
    <w:p>
      <w:pPr>
        <w:pStyle w:val="Heading2"/>
        <w:keepNext/>
      </w:pPr>
      <w:r>
        <w:t>Table S4. Paired query-level quality comparisons for ARA minus each baseline across 30 queries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cantSplit/>
        </w:trPr>
        <w:tc>
          <w:tcPr>
            <w:tcW w:type="dxa" w:w="1987"/>
          </w:tcPr>
          <w:p>
            <w:pPr>
              <w:keepNext w:val="0"/>
              <w:spacing w:line="240" w:lineRule="auto" w:after="60"/>
            </w:pPr>
            <w:r>
              <w:rPr>
                <w:rFonts w:ascii="Times New Roman" w:hAnsi="Times New Roman"/>
                <w:b/>
                <w:sz w:val="18"/>
              </w:rPr>
              <w:t>Baseline</w:t>
            </w:r>
          </w:p>
        </w:tc>
        <w:tc>
          <w:tcPr>
            <w:tcW w:type="dxa" w:w="1987"/>
          </w:tcPr>
          <w:p>
            <w:pPr>
              <w:keepNext w:val="0"/>
              <w:spacing w:line="240" w:lineRule="auto" w:after="60"/>
            </w:pPr>
            <w:r>
              <w:rPr>
                <w:rFonts w:ascii="Times New Roman" w:hAnsi="Times New Roman"/>
                <w:b/>
                <w:sz w:val="18"/>
              </w:rPr>
              <w:t>Mean difference and 95% CI</w:t>
            </w:r>
          </w:p>
        </w:tc>
        <w:tc>
          <w:tcPr>
            <w:tcW w:type="dxa" w:w="1987"/>
          </w:tcPr>
          <w:p>
            <w:pPr>
              <w:keepNext w:val="0"/>
              <w:spacing w:line="240" w:lineRule="auto" w:after="60"/>
            </w:pPr>
            <w:r>
              <w:rPr>
                <w:rFonts w:ascii="Times New Roman" w:hAnsi="Times New Roman"/>
                <w:b/>
                <w:sz w:val="18"/>
              </w:rPr>
              <w:t>Rank-biserial effect</w:t>
            </w:r>
          </w:p>
        </w:tc>
        <w:tc>
          <w:tcPr>
            <w:tcW w:type="dxa" w:w="1987"/>
          </w:tcPr>
          <w:p>
            <w:pPr>
              <w:keepNext w:val="0"/>
              <w:spacing w:line="240" w:lineRule="auto" w:after="60"/>
            </w:pPr>
            <w:r>
              <w:rPr>
                <w:rFonts w:ascii="Times New Roman" w:hAnsi="Times New Roman"/>
                <w:b/>
                <w:sz w:val="18"/>
              </w:rPr>
              <w:t>Effect 95% CI</w:t>
            </w:r>
          </w:p>
        </w:tc>
        <w:tc>
          <w:tcPr>
            <w:tcW w:type="dxa" w:w="1987"/>
          </w:tcPr>
          <w:p>
            <w:pPr>
              <w:keepNext w:val="0"/>
              <w:spacing w:line="240" w:lineRule="auto" w:after="60"/>
            </w:pPr>
            <w:r>
              <w:rPr>
                <w:rFonts w:ascii="Times New Roman" w:hAnsi="Times New Roman"/>
                <w:b/>
                <w:sz w:val="18"/>
              </w:rPr>
              <w:t>Holm adjusted p</w:t>
            </w:r>
          </w:p>
        </w:tc>
      </w:tr>
      <w:tr>
        <w:trPr>
          <w:cantSplit/>
        </w:trPr>
        <w:tc>
          <w:tcPr>
            <w:tcW w:type="dxa" w:w="1987"/>
          </w:tcPr>
          <w:p>
            <w:pPr>
              <w:keepNext w:val="0"/>
              <w:spacing w:line="240" w:lineRule="auto" w:after="60"/>
            </w:pPr>
            <w:r>
              <w:rPr>
                <w:rFonts w:ascii="Times New Roman" w:hAnsi="Times New Roman"/>
                <w:sz w:val="18"/>
              </w:rPr>
              <w:t>RAG-Flow</w:t>
            </w:r>
          </w:p>
        </w:tc>
        <w:tc>
          <w:tcPr>
            <w:tcW w:type="dxa" w:w="1987"/>
          </w:tcPr>
          <w:p>
            <w:pPr>
              <w:keepNext w:val="0"/>
              <w:spacing w:line="240" w:lineRule="auto" w:after="60"/>
            </w:pPr>
            <w:r>
              <w:rPr>
                <w:rFonts w:ascii="Times New Roman" w:hAnsi="Times New Roman"/>
                <w:sz w:val="18"/>
              </w:rPr>
              <w:t>1.27 (0.74, 1.83)</w:t>
            </w:r>
          </w:p>
        </w:tc>
        <w:tc>
          <w:tcPr>
            <w:tcW w:type="dxa" w:w="1987"/>
          </w:tcPr>
          <w:p>
            <w:pPr>
              <w:keepNext w:val="0"/>
              <w:spacing w:line="240" w:lineRule="auto" w:after="60"/>
            </w:pPr>
            <w:r>
              <w:rPr>
                <w:rFonts w:ascii="Times New Roman" w:hAnsi="Times New Roman"/>
                <w:sz w:val="18"/>
              </w:rPr>
              <w:t>1.000</w:t>
            </w:r>
          </w:p>
        </w:tc>
        <w:tc>
          <w:tcPr>
            <w:tcW w:type="dxa" w:w="1987"/>
          </w:tcPr>
          <w:p>
            <w:pPr>
              <w:keepNext w:val="0"/>
              <w:spacing w:line="240" w:lineRule="auto" w:after="60"/>
            </w:pPr>
            <w:r>
              <w:rPr>
                <w:rFonts w:ascii="Times New Roman" w:hAnsi="Times New Roman"/>
                <w:sz w:val="18"/>
              </w:rPr>
              <w:t>1.000, 1.000</w:t>
            </w:r>
          </w:p>
        </w:tc>
        <w:tc>
          <w:tcPr>
            <w:tcW w:type="dxa" w:w="1987"/>
          </w:tcPr>
          <w:p>
            <w:pPr>
              <w:keepNext w:val="0"/>
              <w:spacing w:line="240" w:lineRule="auto" w:after="60"/>
            </w:pPr>
            <w:r>
              <w:rPr>
                <w:rFonts w:ascii="Times New Roman" w:hAnsi="Times New Roman"/>
                <w:sz w:val="18"/>
              </w:rPr>
              <w:t>0.000258</w:t>
            </w:r>
          </w:p>
        </w:tc>
      </w:tr>
      <w:tr>
        <w:trPr>
          <w:cantSplit/>
        </w:trPr>
        <w:tc>
          <w:tcPr>
            <w:tcW w:type="dxa" w:w="1987"/>
          </w:tcPr>
          <w:p>
            <w:pPr>
              <w:keepNext w:val="0"/>
              <w:spacing w:line="240" w:lineRule="auto" w:after="60"/>
            </w:pPr>
            <w:r>
              <w:rPr>
                <w:rFonts w:ascii="Times New Roman" w:hAnsi="Times New Roman"/>
                <w:sz w:val="18"/>
              </w:rPr>
              <w:t>RAG-Gym</w:t>
            </w:r>
          </w:p>
        </w:tc>
        <w:tc>
          <w:tcPr>
            <w:tcW w:type="dxa" w:w="1987"/>
          </w:tcPr>
          <w:p>
            <w:pPr>
              <w:keepNext w:val="0"/>
              <w:spacing w:line="240" w:lineRule="auto" w:after="60"/>
            </w:pPr>
            <w:r>
              <w:rPr>
                <w:rFonts w:ascii="Times New Roman" w:hAnsi="Times New Roman"/>
                <w:sz w:val="18"/>
              </w:rPr>
              <w:t>-0.41 (-0.59, -0.23)</w:t>
            </w:r>
          </w:p>
        </w:tc>
        <w:tc>
          <w:tcPr>
            <w:tcW w:type="dxa" w:w="1987"/>
          </w:tcPr>
          <w:p>
            <w:pPr>
              <w:keepNext w:val="0"/>
              <w:spacing w:line="240" w:lineRule="auto" w:after="60"/>
            </w:pPr>
            <w:r>
              <w:rPr>
                <w:rFonts w:ascii="Times New Roman" w:hAnsi="Times New Roman"/>
                <w:sz w:val="18"/>
              </w:rPr>
              <w:t>-0.959</w:t>
            </w:r>
          </w:p>
        </w:tc>
        <w:tc>
          <w:tcPr>
            <w:tcW w:type="dxa" w:w="1987"/>
          </w:tcPr>
          <w:p>
            <w:pPr>
              <w:keepNext w:val="0"/>
              <w:spacing w:line="240" w:lineRule="auto" w:after="60"/>
            </w:pPr>
            <w:r>
              <w:rPr>
                <w:rFonts w:ascii="Times New Roman" w:hAnsi="Times New Roman"/>
                <w:sz w:val="18"/>
              </w:rPr>
              <w:t>-1.000, -0.824</w:t>
            </w:r>
          </w:p>
        </w:tc>
        <w:tc>
          <w:tcPr>
            <w:tcW w:type="dxa" w:w="1987"/>
          </w:tcPr>
          <w:p>
            <w:pPr>
              <w:keepNext w:val="0"/>
              <w:spacing w:line="240" w:lineRule="auto" w:after="60"/>
            </w:pPr>
            <w:r>
              <w:rPr>
                <w:rFonts w:ascii="Times New Roman" w:hAnsi="Times New Roman"/>
                <w:sz w:val="18"/>
              </w:rPr>
              <w:t>0.000332</w:t>
            </w:r>
          </w:p>
        </w:tc>
      </w:tr>
      <w:tr>
        <w:trPr>
          <w:cantSplit/>
        </w:trPr>
        <w:tc>
          <w:tcPr>
            <w:tcW w:type="dxa" w:w="1987"/>
          </w:tcPr>
          <w:p>
            <w:pPr>
              <w:keepNext w:val="0"/>
              <w:spacing w:line="240" w:lineRule="auto" w:after="60"/>
            </w:pPr>
            <w:r>
              <w:rPr>
                <w:rFonts w:ascii="Times New Roman" w:hAnsi="Times New Roman"/>
                <w:sz w:val="18"/>
              </w:rPr>
              <w:t>Mistral</w:t>
            </w:r>
          </w:p>
        </w:tc>
        <w:tc>
          <w:tcPr>
            <w:tcW w:type="dxa" w:w="1987"/>
          </w:tcPr>
          <w:p>
            <w:pPr>
              <w:keepNext w:val="0"/>
              <w:spacing w:line="240" w:lineRule="auto" w:after="60"/>
            </w:pPr>
            <w:r>
              <w:rPr>
                <w:rFonts w:ascii="Times New Roman" w:hAnsi="Times New Roman"/>
                <w:sz w:val="18"/>
              </w:rPr>
              <w:t>2.29 (2.03, 2.53)</w:t>
            </w:r>
          </w:p>
        </w:tc>
        <w:tc>
          <w:tcPr>
            <w:tcW w:type="dxa" w:w="1987"/>
          </w:tcPr>
          <w:p>
            <w:pPr>
              <w:keepNext w:val="0"/>
              <w:spacing w:line="240" w:lineRule="auto" w:after="60"/>
            </w:pPr>
            <w:r>
              <w:rPr>
                <w:rFonts w:ascii="Times New Roman" w:hAnsi="Times New Roman"/>
                <w:sz w:val="18"/>
              </w:rPr>
              <w:t>1.000</w:t>
            </w:r>
          </w:p>
        </w:tc>
        <w:tc>
          <w:tcPr>
            <w:tcW w:type="dxa" w:w="1987"/>
          </w:tcPr>
          <w:p>
            <w:pPr>
              <w:keepNext w:val="0"/>
              <w:spacing w:line="240" w:lineRule="auto" w:after="60"/>
            </w:pPr>
            <w:r>
              <w:rPr>
                <w:rFonts w:ascii="Times New Roman" w:hAnsi="Times New Roman"/>
                <w:sz w:val="18"/>
              </w:rPr>
              <w:t>1.000, 1.000</w:t>
            </w:r>
          </w:p>
        </w:tc>
        <w:tc>
          <w:tcPr>
            <w:tcW w:type="dxa" w:w="1987"/>
          </w:tcPr>
          <w:p>
            <w:pPr>
              <w:keepNext w:val="0"/>
              <w:spacing w:line="240" w:lineRule="auto" w:after="60"/>
            </w:pPr>
            <w:r>
              <w:rPr>
                <w:rFonts w:ascii="Times New Roman" w:hAnsi="Times New Roman"/>
                <w:sz w:val="18"/>
              </w:rPr>
              <w:t>0.000006</w:t>
            </w:r>
          </w:p>
        </w:tc>
      </w:tr>
      <w:tr>
        <w:trPr>
          <w:cantSplit/>
        </w:trPr>
        <w:tc>
          <w:tcPr>
            <w:tcW w:type="dxa" w:w="1987"/>
          </w:tcPr>
          <w:p>
            <w:pPr>
              <w:keepNext w:val="0"/>
              <w:spacing w:line="240" w:lineRule="auto" w:after="60"/>
            </w:pPr>
            <w:r>
              <w:rPr>
                <w:rFonts w:ascii="Times New Roman" w:hAnsi="Times New Roman"/>
                <w:sz w:val="18"/>
              </w:rPr>
              <w:t>GPT-5.2</w:t>
            </w:r>
          </w:p>
        </w:tc>
        <w:tc>
          <w:tcPr>
            <w:tcW w:type="dxa" w:w="1987"/>
          </w:tcPr>
          <w:p>
            <w:pPr>
              <w:keepNext w:val="0"/>
              <w:spacing w:line="240" w:lineRule="auto" w:after="60"/>
            </w:pPr>
            <w:r>
              <w:rPr>
                <w:rFonts w:ascii="Times New Roman" w:hAnsi="Times New Roman"/>
                <w:sz w:val="18"/>
              </w:rPr>
              <w:t>1.67 (1.37, 1.97)</w:t>
            </w:r>
          </w:p>
        </w:tc>
        <w:tc>
          <w:tcPr>
            <w:tcW w:type="dxa" w:w="1987"/>
          </w:tcPr>
          <w:p>
            <w:pPr>
              <w:keepNext w:val="0"/>
              <w:spacing w:line="240" w:lineRule="auto" w:after="60"/>
            </w:pPr>
            <w:r>
              <w:rPr>
                <w:rFonts w:ascii="Times New Roman" w:hAnsi="Times New Roman"/>
                <w:sz w:val="18"/>
              </w:rPr>
              <w:t>0.991</w:t>
            </w:r>
          </w:p>
        </w:tc>
        <w:tc>
          <w:tcPr>
            <w:tcW w:type="dxa" w:w="1987"/>
          </w:tcPr>
          <w:p>
            <w:pPr>
              <w:keepNext w:val="0"/>
              <w:spacing w:line="240" w:lineRule="auto" w:after="60"/>
            </w:pPr>
            <w:r>
              <w:rPr>
                <w:rFonts w:ascii="Times New Roman" w:hAnsi="Times New Roman"/>
                <w:sz w:val="18"/>
              </w:rPr>
              <w:t>0.953, 1.000</w:t>
            </w:r>
          </w:p>
        </w:tc>
        <w:tc>
          <w:tcPr>
            <w:tcW w:type="dxa" w:w="1987"/>
          </w:tcPr>
          <w:p>
            <w:pPr>
              <w:keepNext w:val="0"/>
              <w:spacing w:line="240" w:lineRule="auto" w:after="60"/>
            </w:pPr>
            <w:r>
              <w:rPr>
                <w:rFonts w:ascii="Times New Roman" w:hAnsi="Times New Roman"/>
                <w:sz w:val="18"/>
              </w:rPr>
              <w:t>0.000006</w:t>
            </w:r>
          </w:p>
        </w:tc>
      </w:tr>
    </w:tbl>
    <w:p>
      <w:pPr>
        <w:pStyle w:val="Heading2"/>
        <w:keepNext/>
      </w:pPr>
      <w:r>
        <w:t>Table S5. Paired overall latency comparisons for ARA minus each standalone pipeline across 30 query medians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cantSplit/>
        </w:trPr>
        <w:tc>
          <w:tcPr>
            <w:tcW w:type="dxa" w:w="2484"/>
          </w:tcPr>
          <w:p>
            <w:pPr>
              <w:keepNext w:val="0"/>
              <w:spacing w:line="240" w:lineRule="auto" w:after="60"/>
            </w:pPr>
            <w:r>
              <w:rPr>
                <w:rFonts w:ascii="Times New Roman" w:hAnsi="Times New Roman"/>
                <w:b/>
                <w:sz w:val="18"/>
              </w:rPr>
              <w:t>Baseline</w:t>
            </w:r>
          </w:p>
        </w:tc>
        <w:tc>
          <w:tcPr>
            <w:tcW w:type="dxa" w:w="2484"/>
          </w:tcPr>
          <w:p>
            <w:pPr>
              <w:keepNext w:val="0"/>
              <w:spacing w:line="240" w:lineRule="auto" w:after="60"/>
            </w:pPr>
            <w:r>
              <w:rPr>
                <w:rFonts w:ascii="Times New Roman" w:hAnsi="Times New Roman"/>
                <w:b/>
                <w:sz w:val="18"/>
              </w:rPr>
              <w:t>Mean difference in s and 95% CI</w:t>
            </w:r>
          </w:p>
        </w:tc>
        <w:tc>
          <w:tcPr>
            <w:tcW w:type="dxa" w:w="2484"/>
          </w:tcPr>
          <w:p>
            <w:pPr>
              <w:keepNext w:val="0"/>
              <w:spacing w:line="240" w:lineRule="auto" w:after="60"/>
            </w:pPr>
            <w:r>
              <w:rPr>
                <w:rFonts w:ascii="Times New Roman" w:hAnsi="Times New Roman"/>
                <w:b/>
                <w:sz w:val="18"/>
              </w:rPr>
              <w:t>Rank-biserial effect</w:t>
            </w:r>
          </w:p>
        </w:tc>
        <w:tc>
          <w:tcPr>
            <w:tcW w:type="dxa" w:w="2484"/>
          </w:tcPr>
          <w:p>
            <w:pPr>
              <w:keepNext w:val="0"/>
              <w:spacing w:line="240" w:lineRule="auto" w:after="60"/>
            </w:pPr>
            <w:r>
              <w:rPr>
                <w:rFonts w:ascii="Times New Roman" w:hAnsi="Times New Roman"/>
                <w:b/>
                <w:sz w:val="18"/>
              </w:rPr>
              <w:t>Holm adjusted p</w:t>
            </w:r>
          </w:p>
        </w:tc>
      </w:tr>
      <w:tr>
        <w:trPr>
          <w:cantSplit/>
        </w:trPr>
        <w:tc>
          <w:tcPr>
            <w:tcW w:type="dxa" w:w="2484"/>
          </w:tcPr>
          <w:p>
            <w:pPr>
              <w:keepNext w:val="0"/>
              <w:spacing w:line="240" w:lineRule="auto" w:after="60"/>
            </w:pPr>
            <w:r>
              <w:rPr>
                <w:rFonts w:ascii="Times New Roman" w:hAnsi="Times New Roman"/>
                <w:sz w:val="18"/>
              </w:rPr>
              <w:t>RAG-Flow</w:t>
            </w:r>
          </w:p>
        </w:tc>
        <w:tc>
          <w:tcPr>
            <w:tcW w:type="dxa" w:w="2484"/>
          </w:tcPr>
          <w:p>
            <w:pPr>
              <w:keepNext w:val="0"/>
              <w:spacing w:line="240" w:lineRule="auto" w:after="60"/>
            </w:pPr>
            <w:r>
              <w:rPr>
                <w:rFonts w:ascii="Times New Roman" w:hAnsi="Times New Roman"/>
                <w:sz w:val="18"/>
              </w:rPr>
              <w:t>57.91 (36.89, 78.96)</w:t>
            </w:r>
          </w:p>
        </w:tc>
        <w:tc>
          <w:tcPr>
            <w:tcW w:type="dxa" w:w="2484"/>
          </w:tcPr>
          <w:p>
            <w:pPr>
              <w:keepNext w:val="0"/>
              <w:spacing w:line="240" w:lineRule="auto" w:after="60"/>
            </w:pPr>
            <w:r>
              <w:rPr>
                <w:rFonts w:ascii="Times New Roman" w:hAnsi="Times New Roman"/>
                <w:sz w:val="18"/>
              </w:rPr>
              <w:t>0.677</w:t>
            </w:r>
          </w:p>
        </w:tc>
        <w:tc>
          <w:tcPr>
            <w:tcW w:type="dxa" w:w="2484"/>
          </w:tcPr>
          <w:p>
            <w:pPr>
              <w:keepNext w:val="0"/>
              <w:spacing w:line="240" w:lineRule="auto" w:after="60"/>
            </w:pPr>
            <w:r>
              <w:rPr>
                <w:rFonts w:ascii="Times New Roman" w:hAnsi="Times New Roman"/>
                <w:sz w:val="18"/>
              </w:rPr>
              <w:t>0.00146</w:t>
            </w:r>
          </w:p>
        </w:tc>
      </w:tr>
      <w:tr>
        <w:trPr>
          <w:cantSplit/>
        </w:trPr>
        <w:tc>
          <w:tcPr>
            <w:tcW w:type="dxa" w:w="2484"/>
          </w:tcPr>
          <w:p>
            <w:pPr>
              <w:keepNext w:val="0"/>
              <w:spacing w:line="240" w:lineRule="auto" w:after="60"/>
            </w:pPr>
            <w:r>
              <w:rPr>
                <w:rFonts w:ascii="Times New Roman" w:hAnsi="Times New Roman"/>
                <w:sz w:val="18"/>
              </w:rPr>
              <w:t>RAG-Gym</w:t>
            </w:r>
          </w:p>
        </w:tc>
        <w:tc>
          <w:tcPr>
            <w:tcW w:type="dxa" w:w="2484"/>
          </w:tcPr>
          <w:p>
            <w:pPr>
              <w:keepNext w:val="0"/>
              <w:spacing w:line="240" w:lineRule="auto" w:after="60"/>
            </w:pPr>
            <w:r>
              <w:rPr>
                <w:rFonts w:ascii="Times New Roman" w:hAnsi="Times New Roman"/>
                <w:sz w:val="18"/>
              </w:rPr>
              <w:t>-49.10 (-69.86, -28.95)</w:t>
            </w:r>
          </w:p>
        </w:tc>
        <w:tc>
          <w:tcPr>
            <w:tcW w:type="dxa" w:w="2484"/>
          </w:tcPr>
          <w:p>
            <w:pPr>
              <w:keepNext w:val="0"/>
              <w:spacing w:line="240" w:lineRule="auto" w:after="60"/>
            </w:pPr>
            <w:r>
              <w:rPr>
                <w:rFonts w:ascii="Times New Roman" w:hAnsi="Times New Roman"/>
                <w:sz w:val="18"/>
              </w:rPr>
              <w:t>-0.643</w:t>
            </w:r>
          </w:p>
        </w:tc>
        <w:tc>
          <w:tcPr>
            <w:tcW w:type="dxa" w:w="2484"/>
          </w:tcPr>
          <w:p>
            <w:pPr>
              <w:keepNext w:val="0"/>
              <w:spacing w:line="240" w:lineRule="auto" w:after="60"/>
            </w:pPr>
            <w:r>
              <w:rPr>
                <w:rFonts w:ascii="Times New Roman" w:hAnsi="Times New Roman"/>
                <w:sz w:val="18"/>
              </w:rPr>
              <w:t>0.00146</w:t>
            </w:r>
          </w:p>
        </w:tc>
      </w:tr>
    </w:tbl>
    <w:p>
      <w:pPr>
        <w:pStyle w:val="Heading2"/>
        <w:keepNext/>
      </w:pPr>
      <w:r>
        <w:t>Table S6. Supplementary paired ARA comparisons across 20 questions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04"/>
        <w:gridCol w:w="3456"/>
        <w:gridCol w:w="3456"/>
      </w:tblGrid>
      <w:tr>
        <w:trPr>
          <w:tblHeader/>
          <w:cantSplit/>
        </w:trPr>
        <w:tc>
          <w:tcPr>
            <w:tcW w:type="dxa" w:w="1944"/>
          </w:tcPr>
          <w:p>
            <w:pPr>
              <w:keepNext w:val="0"/>
              <w:spacing w:after="60"/>
            </w:pPr>
            <w:r>
              <w:rPr>
                <w:b/>
                <w:sz w:val="18"/>
              </w:rPr>
              <w:t>Comparator</w:t>
            </w:r>
          </w:p>
        </w:tc>
        <w:tc>
          <w:tcPr>
            <w:tcW w:type="dxa" w:w="504"/>
          </w:tcPr>
          <w:p>
            <w:pPr>
              <w:keepNext w:val="0"/>
              <w:spacing w:after="60"/>
            </w:pPr>
            <w:r>
              <w:rPr>
                <w:b/>
                <w:sz w:val="18"/>
              </w:rPr>
              <w:t>n</w:t>
            </w:r>
          </w:p>
        </w:tc>
        <w:tc>
          <w:tcPr>
            <w:tcW w:type="dxa" w:w="3456"/>
          </w:tcPr>
          <w:p>
            <w:pPr>
              <w:keepNext w:val="0"/>
              <w:spacing w:after="60"/>
            </w:pPr>
            <w:r>
              <w:rPr>
                <w:b/>
                <w:sz w:val="18"/>
              </w:rPr>
              <w:t>Correctness difference (95% interval)</w:t>
            </w:r>
          </w:p>
        </w:tc>
        <w:tc>
          <w:tcPr>
            <w:tcW w:type="dxa" w:w="3456"/>
          </w:tcPr>
          <w:p>
            <w:pPr>
              <w:keepNext w:val="0"/>
              <w:spacing w:after="60"/>
            </w:pPr>
            <w:r>
              <w:rPr>
                <w:b/>
                <w:sz w:val="18"/>
              </w:rPr>
              <w:t>Latency difference s (95% interval)</w:t>
            </w:r>
          </w:p>
        </w:tc>
      </w:tr>
      <w:tr>
        <w:trPr>
          <w:cantSplit/>
        </w:trPr>
        <w:tc>
          <w:tcPr>
            <w:tcW w:type="dxa" w:w="1944"/>
          </w:tcPr>
          <w:p>
            <w:pPr>
              <w:keepNext w:val="0"/>
              <w:spacing w:after="60"/>
            </w:pPr>
            <w:r>
              <w:rPr>
                <w:sz w:val="18"/>
              </w:rPr>
              <w:t>RAG-Flow</w:t>
            </w:r>
          </w:p>
        </w:tc>
        <w:tc>
          <w:tcPr>
            <w:tcW w:type="dxa" w:w="504"/>
          </w:tcPr>
          <w:p>
            <w:pPr>
              <w:keepNext w:val="0"/>
              <w:spacing w:after="60"/>
            </w:pPr>
            <w:r>
              <w:rPr>
                <w:sz w:val="18"/>
              </w:rPr>
              <w:t>20</w:t>
            </w:r>
          </w:p>
        </w:tc>
        <w:tc>
          <w:tcPr>
            <w:tcW w:type="dxa" w:w="3456"/>
          </w:tcPr>
          <w:p>
            <w:pPr>
              <w:keepNext w:val="0"/>
              <w:spacing w:after="60"/>
            </w:pPr>
            <w:r>
              <w:rPr>
                <w:sz w:val="18"/>
              </w:rPr>
              <w:t>0.100 (−0.100 to 0.350)</w:t>
            </w:r>
          </w:p>
        </w:tc>
        <w:tc>
          <w:tcPr>
            <w:tcW w:type="dxa" w:w="3456"/>
          </w:tcPr>
          <w:p>
            <w:pPr>
              <w:keepNext w:val="0"/>
              <w:spacing w:after="60"/>
            </w:pPr>
            <w:r>
              <w:rPr>
                <w:sz w:val="18"/>
              </w:rPr>
              <w:t>31.96 (24.00 to 41.14)</w:t>
            </w:r>
          </w:p>
        </w:tc>
      </w:tr>
      <w:tr>
        <w:trPr>
          <w:cantSplit/>
        </w:trPr>
        <w:tc>
          <w:tcPr>
            <w:tcW w:type="dxa" w:w="1944"/>
          </w:tcPr>
          <w:p>
            <w:pPr>
              <w:keepNext w:val="0"/>
              <w:spacing w:after="60"/>
            </w:pPr>
            <w:r>
              <w:rPr>
                <w:sz w:val="18"/>
              </w:rPr>
              <w:t>RAG-Gym</w:t>
            </w:r>
          </w:p>
        </w:tc>
        <w:tc>
          <w:tcPr>
            <w:tcW w:type="dxa" w:w="504"/>
          </w:tcPr>
          <w:p>
            <w:pPr>
              <w:keepNext w:val="0"/>
              <w:spacing w:after="60"/>
            </w:pPr>
            <w:r>
              <w:rPr>
                <w:sz w:val="18"/>
              </w:rPr>
              <w:t>20</w:t>
            </w:r>
          </w:p>
        </w:tc>
        <w:tc>
          <w:tcPr>
            <w:tcW w:type="dxa" w:w="3456"/>
          </w:tcPr>
          <w:p>
            <w:pPr>
              <w:keepNext w:val="0"/>
              <w:spacing w:after="60"/>
            </w:pPr>
            <w:r>
              <w:rPr>
                <w:sz w:val="18"/>
              </w:rPr>
              <w:t>0.050 (−0.100 to 0.275)</w:t>
            </w:r>
          </w:p>
        </w:tc>
        <w:tc>
          <w:tcPr>
            <w:tcW w:type="dxa" w:w="3456"/>
          </w:tcPr>
          <w:p>
            <w:pPr>
              <w:keepNext w:val="0"/>
              <w:spacing w:after="60"/>
            </w:pPr>
            <w:r>
              <w:rPr>
                <w:sz w:val="18"/>
              </w:rPr>
              <w:t>−3.26 (−6.78 to −0.16)</w:t>
            </w:r>
          </w:p>
        </w:tc>
      </w:tr>
      <w:tr>
        <w:trPr>
          <w:cantSplit/>
        </w:trPr>
        <w:tc>
          <w:tcPr>
            <w:tcW w:type="dxa" w:w="1944"/>
          </w:tcPr>
          <w:p>
            <w:pPr>
              <w:keepNext w:val="0"/>
              <w:spacing w:after="60"/>
            </w:pPr>
            <w:r>
              <w:rPr>
                <w:sz w:val="18"/>
              </w:rPr>
              <w:t>Grounded GPT-5.2</w:t>
            </w:r>
          </w:p>
        </w:tc>
        <w:tc>
          <w:tcPr>
            <w:tcW w:type="dxa" w:w="504"/>
          </w:tcPr>
          <w:p>
            <w:pPr>
              <w:keepNext w:val="0"/>
              <w:spacing w:after="60"/>
            </w:pPr>
            <w:r>
              <w:rPr>
                <w:sz w:val="18"/>
              </w:rPr>
              <w:t>20</w:t>
            </w:r>
          </w:p>
        </w:tc>
        <w:tc>
          <w:tcPr>
            <w:tcW w:type="dxa" w:w="3456"/>
          </w:tcPr>
          <w:p>
            <w:pPr>
              <w:keepNext w:val="0"/>
              <w:spacing w:after="60"/>
            </w:pPr>
            <w:r>
              <w:rPr>
                <w:sz w:val="18"/>
              </w:rPr>
              <w:t>0.100 (−0.100 to 0.350)</w:t>
            </w:r>
          </w:p>
        </w:tc>
        <w:tc>
          <w:tcPr>
            <w:tcW w:type="dxa" w:w="3456"/>
          </w:tcPr>
          <w:p>
            <w:pPr>
              <w:keepNext w:val="0"/>
              <w:spacing w:after="60"/>
            </w:pPr>
            <w:r>
              <w:rPr>
                <w:sz w:val="18"/>
              </w:rPr>
              <w:t>35.25 (27.17 to 44.59)</w:t>
            </w:r>
          </w:p>
        </w:tc>
      </w:tr>
      <w:tr>
        <w:trPr>
          <w:cantSplit/>
        </w:trPr>
        <w:tc>
          <w:tcPr>
            <w:tcW w:type="dxa" w:w="1944"/>
          </w:tcPr>
          <w:p>
            <w:pPr>
              <w:keepNext w:val="0"/>
              <w:spacing w:after="60"/>
            </w:pPr>
            <w:r>
              <w:rPr>
                <w:sz w:val="18"/>
              </w:rPr>
              <w:t>Grounded Mistral</w:t>
            </w:r>
          </w:p>
        </w:tc>
        <w:tc>
          <w:tcPr>
            <w:tcW w:type="dxa" w:w="504"/>
          </w:tcPr>
          <w:p>
            <w:pPr>
              <w:keepNext w:val="0"/>
              <w:spacing w:after="60"/>
            </w:pPr>
            <w:r>
              <w:rPr>
                <w:sz w:val="18"/>
              </w:rPr>
              <w:t>20</w:t>
            </w:r>
          </w:p>
        </w:tc>
        <w:tc>
          <w:tcPr>
            <w:tcW w:type="dxa" w:w="3456"/>
          </w:tcPr>
          <w:p>
            <w:pPr>
              <w:keepNext w:val="0"/>
              <w:spacing w:after="60"/>
            </w:pPr>
            <w:r>
              <w:rPr>
                <w:sz w:val="18"/>
              </w:rPr>
              <w:t>0.150 (−0.075 to 0.400)</w:t>
            </w:r>
          </w:p>
        </w:tc>
        <w:tc>
          <w:tcPr>
            <w:tcW w:type="dxa" w:w="3456"/>
          </w:tcPr>
          <w:p>
            <w:pPr>
              <w:keepNext w:val="0"/>
              <w:spacing w:after="60"/>
            </w:pPr>
            <w:r>
              <w:rPr>
                <w:sz w:val="18"/>
              </w:rPr>
              <w:t>35.32 (27.27 to 44.54)</w:t>
            </w:r>
          </w:p>
        </w:tc>
      </w:tr>
    </w:tbl>
    <w:p>
      <w:r>
        <w:t>ARA minus comparator. Correctness averages the two independent ratings per answer on the 0–2 scale; latency uses the median of five successful repetitions for each question and method. Intervals use paired question bootstrap resampling stratified by source, 10,000 draws and seed 19357 for each contrast. No multiplicity adjustment is applied. Positive correctness differences favor ARA; negative latency differences indicate faster ARA responses.</w:t>
      </w:r>
    </w:p>
    <w:p>
      <w:pPr>
        <w:pStyle w:val="Heading2"/>
        <w:keepNext/>
      </w:pPr>
      <w:r>
        <w:t>Table S7. Supplementary paired latency differences by source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2088"/>
        <w:gridCol w:w="504"/>
        <w:gridCol w:w="2232"/>
        <w:gridCol w:w="3312"/>
      </w:tblGrid>
      <w:tr>
        <w:trPr>
          <w:tblHeader/>
          <w:cantSplit/>
        </w:trPr>
        <w:tc>
          <w:tcPr>
            <w:tcW w:type="dxa" w:w="1224"/>
          </w:tcPr>
          <w:p>
            <w:pPr>
              <w:keepNext w:val="0"/>
              <w:spacing w:after="60"/>
            </w:pPr>
            <w:r>
              <w:rPr>
                <w:b/>
                <w:sz w:val="18"/>
              </w:rPr>
              <w:t>Source</w:t>
            </w:r>
          </w:p>
        </w:tc>
        <w:tc>
          <w:tcPr>
            <w:tcW w:type="dxa" w:w="2088"/>
          </w:tcPr>
          <w:p>
            <w:pPr>
              <w:keepNext w:val="0"/>
              <w:spacing w:after="60"/>
            </w:pPr>
            <w:r>
              <w:rPr>
                <w:b/>
                <w:sz w:val="18"/>
              </w:rPr>
              <w:t>Comparator</w:t>
            </w:r>
          </w:p>
        </w:tc>
        <w:tc>
          <w:tcPr>
            <w:tcW w:type="dxa" w:w="504"/>
          </w:tcPr>
          <w:p>
            <w:pPr>
              <w:keepNext w:val="0"/>
              <w:spacing w:after="60"/>
            </w:pPr>
            <w:r>
              <w:rPr>
                <w:b/>
                <w:sz w:val="18"/>
              </w:rPr>
              <w:t>n</w:t>
            </w:r>
          </w:p>
        </w:tc>
        <w:tc>
          <w:tcPr>
            <w:tcW w:type="dxa" w:w="2232"/>
          </w:tcPr>
          <w:p>
            <w:pPr>
              <w:keepNext w:val="0"/>
              <w:spacing w:after="60"/>
            </w:pPr>
            <w:r>
              <w:rPr>
                <w:b/>
                <w:sz w:val="18"/>
              </w:rPr>
              <w:t>ARA minus comparator s</w:t>
            </w:r>
          </w:p>
        </w:tc>
        <w:tc>
          <w:tcPr>
            <w:tcW w:type="dxa" w:w="3312"/>
          </w:tcPr>
          <w:p>
            <w:pPr>
              <w:keepNext w:val="0"/>
              <w:spacing w:after="60"/>
            </w:pPr>
            <w:r>
              <w:rPr>
                <w:b/>
                <w:sz w:val="18"/>
              </w:rPr>
              <w:t>95% interval s</w:t>
            </w:r>
          </w:p>
        </w:tc>
      </w:tr>
      <w:tr>
        <w:trPr>
          <w:cantSplit/>
        </w:trPr>
        <w:tc>
          <w:tcPr>
            <w:tcW w:type="dxa" w:w="1224"/>
          </w:tcPr>
          <w:p>
            <w:pPr>
              <w:keepNext w:val="0"/>
              <w:spacing w:after="60"/>
            </w:pPr>
            <w:r>
              <w:rPr>
                <w:sz w:val="18"/>
              </w:rPr>
              <w:t>Defence</w:t>
            </w:r>
          </w:p>
        </w:tc>
        <w:tc>
          <w:tcPr>
            <w:tcW w:type="dxa" w:w="2088"/>
          </w:tcPr>
          <w:p>
            <w:pPr>
              <w:keepNext w:val="0"/>
              <w:spacing w:after="60"/>
            </w:pPr>
            <w:r>
              <w:rPr>
                <w:sz w:val="18"/>
              </w:rPr>
              <w:t>RAG-Flow</w:t>
            </w:r>
          </w:p>
        </w:tc>
        <w:tc>
          <w:tcPr>
            <w:tcW w:type="dxa" w:w="504"/>
          </w:tcPr>
          <w:p>
            <w:pPr>
              <w:keepNext w:val="0"/>
              <w:spacing w:after="60"/>
            </w:pPr>
            <w:r>
              <w:rPr>
                <w:sz w:val="18"/>
              </w:rPr>
              <w:t>12</w:t>
            </w:r>
          </w:p>
        </w:tc>
        <w:tc>
          <w:tcPr>
            <w:tcW w:type="dxa" w:w="2232"/>
          </w:tcPr>
          <w:p>
            <w:pPr>
              <w:keepNext w:val="0"/>
              <w:spacing w:after="60"/>
            </w:pPr>
            <w:r>
              <w:rPr>
                <w:sz w:val="18"/>
              </w:rPr>
              <w:t>31.65</w:t>
            </w:r>
          </w:p>
        </w:tc>
        <w:tc>
          <w:tcPr>
            <w:tcW w:type="dxa" w:w="3312"/>
          </w:tcPr>
          <w:p>
            <w:pPr>
              <w:keepNext w:val="0"/>
              <w:spacing w:after="60"/>
            </w:pPr>
            <w:r>
              <w:rPr>
                <w:sz w:val="18"/>
              </w:rPr>
              <w:t>21.19 to 44.87</w:t>
            </w:r>
          </w:p>
        </w:tc>
      </w:tr>
      <w:tr>
        <w:trPr>
          <w:cantSplit/>
        </w:trPr>
        <w:tc>
          <w:tcPr>
            <w:tcW w:type="dxa" w:w="1224"/>
          </w:tcPr>
          <w:p>
            <w:pPr>
              <w:keepNext w:val="0"/>
              <w:spacing w:after="60"/>
            </w:pPr>
            <w:r>
              <w:rPr>
                <w:sz w:val="18"/>
              </w:rPr>
              <w:t>Defence</w:t>
            </w:r>
          </w:p>
        </w:tc>
        <w:tc>
          <w:tcPr>
            <w:tcW w:type="dxa" w:w="2088"/>
          </w:tcPr>
          <w:p>
            <w:pPr>
              <w:keepNext w:val="0"/>
              <w:spacing w:after="60"/>
            </w:pPr>
            <w:r>
              <w:rPr>
                <w:sz w:val="18"/>
              </w:rPr>
              <w:t>RAG-Gym</w:t>
            </w:r>
          </w:p>
        </w:tc>
        <w:tc>
          <w:tcPr>
            <w:tcW w:type="dxa" w:w="504"/>
          </w:tcPr>
          <w:p>
            <w:pPr>
              <w:keepNext w:val="0"/>
              <w:spacing w:after="60"/>
            </w:pPr>
            <w:r>
              <w:rPr>
                <w:sz w:val="18"/>
              </w:rPr>
              <w:t>12</w:t>
            </w:r>
          </w:p>
        </w:tc>
        <w:tc>
          <w:tcPr>
            <w:tcW w:type="dxa" w:w="2232"/>
          </w:tcPr>
          <w:p>
            <w:pPr>
              <w:keepNext w:val="0"/>
              <w:spacing w:after="60"/>
            </w:pPr>
            <w:r>
              <w:rPr>
                <w:sz w:val="18"/>
              </w:rPr>
              <w:t>−2.32</w:t>
            </w:r>
          </w:p>
        </w:tc>
        <w:tc>
          <w:tcPr>
            <w:tcW w:type="dxa" w:w="3312"/>
          </w:tcPr>
          <w:p>
            <w:pPr>
              <w:keepNext w:val="0"/>
              <w:spacing w:after="60"/>
            </w:pPr>
            <w:r>
              <w:rPr>
                <w:sz w:val="18"/>
              </w:rPr>
              <w:t>−6.29 to 0.61</w:t>
            </w:r>
          </w:p>
        </w:tc>
      </w:tr>
      <w:tr>
        <w:trPr>
          <w:cantSplit/>
        </w:trPr>
        <w:tc>
          <w:tcPr>
            <w:tcW w:type="dxa" w:w="1224"/>
          </w:tcPr>
          <w:p>
            <w:pPr>
              <w:keepNext w:val="0"/>
              <w:spacing w:after="60"/>
            </w:pPr>
            <w:r>
              <w:rPr>
                <w:sz w:val="18"/>
              </w:rPr>
              <w:t>Defence</w:t>
            </w:r>
          </w:p>
        </w:tc>
        <w:tc>
          <w:tcPr>
            <w:tcW w:type="dxa" w:w="2088"/>
          </w:tcPr>
          <w:p>
            <w:pPr>
              <w:keepNext w:val="0"/>
              <w:spacing w:after="60"/>
            </w:pPr>
            <w:r>
              <w:rPr>
                <w:sz w:val="18"/>
              </w:rPr>
              <w:t>Grounded GPT-5.2</w:t>
            </w:r>
          </w:p>
        </w:tc>
        <w:tc>
          <w:tcPr>
            <w:tcW w:type="dxa" w:w="504"/>
          </w:tcPr>
          <w:p>
            <w:pPr>
              <w:keepNext w:val="0"/>
              <w:spacing w:after="60"/>
            </w:pPr>
            <w:r>
              <w:rPr>
                <w:sz w:val="18"/>
              </w:rPr>
              <w:t>12</w:t>
            </w:r>
          </w:p>
        </w:tc>
        <w:tc>
          <w:tcPr>
            <w:tcW w:type="dxa" w:w="2232"/>
          </w:tcPr>
          <w:p>
            <w:pPr>
              <w:keepNext w:val="0"/>
              <w:spacing w:after="60"/>
            </w:pPr>
            <w:r>
              <w:rPr>
                <w:sz w:val="18"/>
              </w:rPr>
              <w:t>35.06</w:t>
            </w:r>
          </w:p>
        </w:tc>
        <w:tc>
          <w:tcPr>
            <w:tcW w:type="dxa" w:w="3312"/>
          </w:tcPr>
          <w:p>
            <w:pPr>
              <w:keepNext w:val="0"/>
              <w:spacing w:after="60"/>
            </w:pPr>
            <w:r>
              <w:rPr>
                <w:sz w:val="18"/>
              </w:rPr>
              <w:t>24.61 to 48.10</w:t>
            </w:r>
          </w:p>
        </w:tc>
      </w:tr>
      <w:tr>
        <w:trPr>
          <w:cantSplit/>
        </w:trPr>
        <w:tc>
          <w:tcPr>
            <w:tcW w:type="dxa" w:w="1224"/>
          </w:tcPr>
          <w:p>
            <w:pPr>
              <w:keepNext w:val="0"/>
              <w:spacing w:after="60"/>
            </w:pPr>
            <w:r>
              <w:rPr>
                <w:sz w:val="18"/>
              </w:rPr>
              <w:t>Defence</w:t>
            </w:r>
          </w:p>
        </w:tc>
        <w:tc>
          <w:tcPr>
            <w:tcW w:type="dxa" w:w="2088"/>
          </w:tcPr>
          <w:p>
            <w:pPr>
              <w:keepNext w:val="0"/>
              <w:spacing w:after="60"/>
            </w:pPr>
            <w:r>
              <w:rPr>
                <w:sz w:val="18"/>
              </w:rPr>
              <w:t>Grounded Mistral</w:t>
            </w:r>
          </w:p>
        </w:tc>
        <w:tc>
          <w:tcPr>
            <w:tcW w:type="dxa" w:w="504"/>
          </w:tcPr>
          <w:p>
            <w:pPr>
              <w:keepNext w:val="0"/>
              <w:spacing w:after="60"/>
            </w:pPr>
            <w:r>
              <w:rPr>
                <w:sz w:val="18"/>
              </w:rPr>
              <w:t>12</w:t>
            </w:r>
          </w:p>
        </w:tc>
        <w:tc>
          <w:tcPr>
            <w:tcW w:type="dxa" w:w="2232"/>
          </w:tcPr>
          <w:p>
            <w:pPr>
              <w:keepNext w:val="0"/>
              <w:spacing w:after="60"/>
            </w:pPr>
            <w:r>
              <w:rPr>
                <w:sz w:val="18"/>
              </w:rPr>
              <w:t>35.04</w:t>
            </w:r>
          </w:p>
        </w:tc>
        <w:tc>
          <w:tcPr>
            <w:tcW w:type="dxa" w:w="3312"/>
          </w:tcPr>
          <w:p>
            <w:pPr>
              <w:keepNext w:val="0"/>
              <w:spacing w:after="60"/>
            </w:pPr>
            <w:r>
              <w:rPr>
                <w:sz w:val="18"/>
              </w:rPr>
              <w:t>24.79 to 48.03</w:t>
            </w:r>
          </w:p>
        </w:tc>
      </w:tr>
      <w:tr>
        <w:trPr>
          <w:cantSplit/>
        </w:trPr>
        <w:tc>
          <w:tcPr>
            <w:tcW w:type="dxa" w:w="1224"/>
          </w:tcPr>
          <w:p>
            <w:pPr>
              <w:keepNext w:val="0"/>
              <w:spacing w:after="60"/>
            </w:pPr>
            <w:r>
              <w:rPr>
                <w:sz w:val="18"/>
              </w:rPr>
              <w:t>Circulars</w:t>
            </w:r>
          </w:p>
        </w:tc>
        <w:tc>
          <w:tcPr>
            <w:tcW w:type="dxa" w:w="2088"/>
          </w:tcPr>
          <w:p>
            <w:pPr>
              <w:keepNext w:val="0"/>
              <w:spacing w:after="60"/>
            </w:pPr>
            <w:r>
              <w:rPr>
                <w:sz w:val="18"/>
              </w:rPr>
              <w:t>RAG-Flow</w:t>
            </w:r>
          </w:p>
        </w:tc>
        <w:tc>
          <w:tcPr>
            <w:tcW w:type="dxa" w:w="504"/>
          </w:tcPr>
          <w:p>
            <w:pPr>
              <w:keepNext w:val="0"/>
              <w:spacing w:after="60"/>
            </w:pPr>
            <w:r>
              <w:rPr>
                <w:sz w:val="18"/>
              </w:rPr>
              <w:t>8</w:t>
            </w:r>
          </w:p>
        </w:tc>
        <w:tc>
          <w:tcPr>
            <w:tcW w:type="dxa" w:w="2232"/>
          </w:tcPr>
          <w:p>
            <w:pPr>
              <w:keepNext w:val="0"/>
              <w:spacing w:after="60"/>
            </w:pPr>
            <w:r>
              <w:rPr>
                <w:sz w:val="18"/>
              </w:rPr>
              <w:t>32.43</w:t>
            </w:r>
          </w:p>
        </w:tc>
        <w:tc>
          <w:tcPr>
            <w:tcW w:type="dxa" w:w="3312"/>
          </w:tcPr>
          <w:p>
            <w:pPr>
              <w:keepNext w:val="0"/>
              <w:spacing w:after="60"/>
            </w:pPr>
            <w:r>
              <w:rPr>
                <w:sz w:val="18"/>
              </w:rPr>
              <w:t>20.52 to 44.76</w:t>
            </w:r>
          </w:p>
        </w:tc>
      </w:tr>
      <w:tr>
        <w:trPr>
          <w:cantSplit/>
        </w:trPr>
        <w:tc>
          <w:tcPr>
            <w:tcW w:type="dxa" w:w="1224"/>
          </w:tcPr>
          <w:p>
            <w:pPr>
              <w:keepNext w:val="0"/>
              <w:spacing w:after="60"/>
            </w:pPr>
            <w:r>
              <w:rPr>
                <w:sz w:val="18"/>
              </w:rPr>
              <w:t>Circulars</w:t>
            </w:r>
          </w:p>
        </w:tc>
        <w:tc>
          <w:tcPr>
            <w:tcW w:type="dxa" w:w="2088"/>
          </w:tcPr>
          <w:p>
            <w:pPr>
              <w:keepNext w:val="0"/>
              <w:spacing w:after="60"/>
            </w:pPr>
            <w:r>
              <w:rPr>
                <w:sz w:val="18"/>
              </w:rPr>
              <w:t>RAG-Gym</w:t>
            </w:r>
          </w:p>
        </w:tc>
        <w:tc>
          <w:tcPr>
            <w:tcW w:type="dxa" w:w="504"/>
          </w:tcPr>
          <w:p>
            <w:pPr>
              <w:keepNext w:val="0"/>
              <w:spacing w:after="60"/>
            </w:pPr>
            <w:r>
              <w:rPr>
                <w:sz w:val="18"/>
              </w:rPr>
              <w:t>8</w:t>
            </w:r>
          </w:p>
        </w:tc>
        <w:tc>
          <w:tcPr>
            <w:tcW w:type="dxa" w:w="2232"/>
          </w:tcPr>
          <w:p>
            <w:pPr>
              <w:keepNext w:val="0"/>
              <w:spacing w:after="60"/>
            </w:pPr>
            <w:r>
              <w:rPr>
                <w:sz w:val="18"/>
              </w:rPr>
              <w:t>−4.67</w:t>
            </w:r>
          </w:p>
        </w:tc>
        <w:tc>
          <w:tcPr>
            <w:tcW w:type="dxa" w:w="3312"/>
          </w:tcPr>
          <w:p>
            <w:pPr>
              <w:keepNext w:val="0"/>
              <w:spacing w:after="60"/>
            </w:pPr>
            <w:r>
              <w:rPr>
                <w:sz w:val="18"/>
              </w:rPr>
              <w:t>−11.53 to 1.41</w:t>
            </w:r>
          </w:p>
        </w:tc>
      </w:tr>
      <w:tr>
        <w:trPr>
          <w:cantSplit/>
        </w:trPr>
        <w:tc>
          <w:tcPr>
            <w:tcW w:type="dxa" w:w="1224"/>
          </w:tcPr>
          <w:p>
            <w:pPr>
              <w:keepNext w:val="0"/>
              <w:spacing w:after="60"/>
            </w:pPr>
            <w:r>
              <w:rPr>
                <w:sz w:val="18"/>
              </w:rPr>
              <w:t>Circulars</w:t>
            </w:r>
          </w:p>
        </w:tc>
        <w:tc>
          <w:tcPr>
            <w:tcW w:type="dxa" w:w="2088"/>
          </w:tcPr>
          <w:p>
            <w:pPr>
              <w:keepNext w:val="0"/>
              <w:spacing w:after="60"/>
            </w:pPr>
            <w:r>
              <w:rPr>
                <w:sz w:val="18"/>
              </w:rPr>
              <w:t>Grounded GPT-5.2</w:t>
            </w:r>
          </w:p>
        </w:tc>
        <w:tc>
          <w:tcPr>
            <w:tcW w:type="dxa" w:w="504"/>
          </w:tcPr>
          <w:p>
            <w:pPr>
              <w:keepNext w:val="0"/>
              <w:spacing w:after="60"/>
            </w:pPr>
            <w:r>
              <w:rPr>
                <w:sz w:val="18"/>
              </w:rPr>
              <w:t>8</w:t>
            </w:r>
          </w:p>
        </w:tc>
        <w:tc>
          <w:tcPr>
            <w:tcW w:type="dxa" w:w="2232"/>
          </w:tcPr>
          <w:p>
            <w:pPr>
              <w:keepNext w:val="0"/>
              <w:spacing w:after="60"/>
            </w:pPr>
            <w:r>
              <w:rPr>
                <w:sz w:val="18"/>
              </w:rPr>
              <w:t>35.54</w:t>
            </w:r>
          </w:p>
        </w:tc>
        <w:tc>
          <w:tcPr>
            <w:tcW w:type="dxa" w:w="3312"/>
          </w:tcPr>
          <w:p>
            <w:pPr>
              <w:keepNext w:val="0"/>
              <w:spacing w:after="60"/>
            </w:pPr>
            <w:r>
              <w:rPr>
                <w:sz w:val="18"/>
              </w:rPr>
              <w:t>22.92 to 48.30</w:t>
            </w:r>
          </w:p>
        </w:tc>
      </w:tr>
      <w:tr>
        <w:trPr>
          <w:cantSplit/>
        </w:trPr>
        <w:tc>
          <w:tcPr>
            <w:tcW w:type="dxa" w:w="1224"/>
          </w:tcPr>
          <w:p>
            <w:pPr>
              <w:keepNext w:val="0"/>
              <w:spacing w:after="60"/>
            </w:pPr>
            <w:r>
              <w:rPr>
                <w:sz w:val="18"/>
              </w:rPr>
              <w:t>Circulars</w:t>
            </w:r>
          </w:p>
        </w:tc>
        <w:tc>
          <w:tcPr>
            <w:tcW w:type="dxa" w:w="2088"/>
          </w:tcPr>
          <w:p>
            <w:pPr>
              <w:keepNext w:val="0"/>
              <w:spacing w:after="60"/>
            </w:pPr>
            <w:r>
              <w:rPr>
                <w:sz w:val="18"/>
              </w:rPr>
              <w:t>Grounded Mistral</w:t>
            </w:r>
          </w:p>
        </w:tc>
        <w:tc>
          <w:tcPr>
            <w:tcW w:type="dxa" w:w="504"/>
          </w:tcPr>
          <w:p>
            <w:pPr>
              <w:keepNext w:val="0"/>
              <w:spacing w:after="60"/>
            </w:pPr>
            <w:r>
              <w:rPr>
                <w:sz w:val="18"/>
              </w:rPr>
              <w:t>8</w:t>
            </w:r>
          </w:p>
        </w:tc>
        <w:tc>
          <w:tcPr>
            <w:tcW w:type="dxa" w:w="2232"/>
          </w:tcPr>
          <w:p>
            <w:pPr>
              <w:keepNext w:val="0"/>
              <w:spacing w:after="60"/>
            </w:pPr>
            <w:r>
              <w:rPr>
                <w:sz w:val="18"/>
              </w:rPr>
              <w:t>35.73</w:t>
            </w:r>
          </w:p>
        </w:tc>
        <w:tc>
          <w:tcPr>
            <w:tcW w:type="dxa" w:w="3312"/>
          </w:tcPr>
          <w:p>
            <w:pPr>
              <w:keepNext w:val="0"/>
              <w:spacing w:after="60"/>
            </w:pPr>
            <w:r>
              <w:rPr>
                <w:sz w:val="18"/>
              </w:rPr>
              <w:t>23.00 to 48.57</w:t>
            </w:r>
          </w:p>
        </w:tc>
      </w:tr>
    </w:tbl>
    <w:p>
      <w:r>
        <w:t>Each observation is a paired difference between five-repeat query medians. Both source-specific ARA–Gym intervals include zero. These intervals use 10,000 paired within-source resamples and seed 19357 separately for each contrast; small rounding differences from preliminary summaries reflect the explicit seed-reset convention.</w:t>
      </w:r>
    </w:p>
    <w:p>
      <w:pPr>
        <w:pStyle w:val="Heading2"/>
        <w:keepNext/>
      </w:pPr>
      <w:r>
        <w:t>Table S8. Corrected Flow minus raw OCR Flow across eight circular questions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512"/>
        <w:gridCol w:w="504"/>
        <w:gridCol w:w="2016"/>
        <w:gridCol w:w="3456"/>
      </w:tblGrid>
      <w:tr>
        <w:trPr>
          <w:tblHeader/>
          <w:cantSplit/>
        </w:trPr>
        <w:tc>
          <w:tcPr>
            <w:tcW w:type="dxa" w:w="1872"/>
          </w:tcPr>
          <w:p>
            <w:pPr>
              <w:keepNext w:val="0"/>
              <w:spacing w:after="60"/>
            </w:pPr>
            <w:r>
              <w:rPr>
                <w:b/>
                <w:sz w:val="18"/>
              </w:rPr>
              <w:t>Outcome</w:t>
            </w:r>
          </w:p>
        </w:tc>
        <w:tc>
          <w:tcPr>
            <w:tcW w:type="dxa" w:w="1512"/>
          </w:tcPr>
          <w:p>
            <w:pPr>
              <w:keepNext w:val="0"/>
              <w:spacing w:after="60"/>
            </w:pPr>
            <w:r>
              <w:rPr>
                <w:b/>
                <w:sz w:val="18"/>
              </w:rPr>
              <w:t>Rater</w:t>
            </w:r>
          </w:p>
        </w:tc>
        <w:tc>
          <w:tcPr>
            <w:tcW w:type="dxa" w:w="504"/>
          </w:tcPr>
          <w:p>
            <w:pPr>
              <w:keepNext w:val="0"/>
              <w:spacing w:after="60"/>
            </w:pPr>
            <w:r>
              <w:rPr>
                <w:b/>
                <w:sz w:val="18"/>
              </w:rPr>
              <w:t>n</w:t>
            </w:r>
          </w:p>
        </w:tc>
        <w:tc>
          <w:tcPr>
            <w:tcW w:type="dxa" w:w="2016"/>
          </w:tcPr>
          <w:p>
            <w:pPr>
              <w:keepNext w:val="0"/>
              <w:spacing w:after="60"/>
            </w:pPr>
            <w:r>
              <w:rPr>
                <w:b/>
                <w:sz w:val="18"/>
              </w:rPr>
              <w:t>Mean difference</w:t>
            </w:r>
          </w:p>
        </w:tc>
        <w:tc>
          <w:tcPr>
            <w:tcW w:type="dxa" w:w="3456"/>
          </w:tcPr>
          <w:p>
            <w:pPr>
              <w:keepNext w:val="0"/>
              <w:spacing w:after="60"/>
            </w:pPr>
            <w:r>
              <w:rPr>
                <w:b/>
                <w:sz w:val="18"/>
              </w:rPr>
              <w:t>95% interval</w:t>
            </w:r>
          </w:p>
        </w:tc>
      </w:tr>
      <w:tr>
        <w:trPr>
          <w:cantSplit/>
        </w:trPr>
        <w:tc>
          <w:tcPr>
            <w:tcW w:type="dxa" w:w="1872"/>
          </w:tcPr>
          <w:p>
            <w:pPr>
              <w:keepNext w:val="0"/>
              <w:spacing w:after="60"/>
            </w:pPr>
            <w:r>
              <w:rPr>
                <w:sz w:val="18"/>
              </w:rPr>
              <w:t>Correctness</w:t>
            </w:r>
          </w:p>
        </w:tc>
        <w:tc>
          <w:tcPr>
            <w:tcW w:type="dxa" w:w="1512"/>
          </w:tcPr>
          <w:p>
            <w:pPr>
              <w:keepNext w:val="0"/>
              <w:spacing w:after="60"/>
            </w:pPr>
            <w:r>
              <w:rPr>
                <w:sz w:val="18"/>
              </w:rPr>
              <w:t>Evaluator 1</w:t>
            </w:r>
          </w:p>
        </w:tc>
        <w:tc>
          <w:tcPr>
            <w:tcW w:type="dxa" w:w="504"/>
          </w:tcPr>
          <w:p>
            <w:pPr>
              <w:keepNext w:val="0"/>
              <w:spacing w:after="60"/>
            </w:pPr>
            <w:r>
              <w:rPr>
                <w:sz w:val="18"/>
              </w:rPr>
              <w:t>8</w:t>
            </w:r>
          </w:p>
        </w:tc>
        <w:tc>
          <w:tcPr>
            <w:tcW w:type="dxa" w:w="2016"/>
          </w:tcPr>
          <w:p>
            <w:pPr>
              <w:keepNext w:val="0"/>
              <w:spacing w:after="60"/>
            </w:pPr>
            <w:r>
              <w:rPr>
                <w:sz w:val="18"/>
              </w:rPr>
              <w:t>0.250</w:t>
            </w:r>
          </w:p>
        </w:tc>
        <w:tc>
          <w:tcPr>
            <w:tcW w:type="dxa" w:w="3456"/>
          </w:tcPr>
          <w:p>
            <w:pPr>
              <w:keepNext w:val="0"/>
              <w:spacing w:after="60"/>
            </w:pPr>
            <w:r>
              <w:rPr>
                <w:sz w:val="18"/>
              </w:rPr>
              <w:t>−0.250 to 0.875</w:t>
            </w:r>
          </w:p>
        </w:tc>
      </w:tr>
      <w:tr>
        <w:trPr>
          <w:cantSplit/>
        </w:trPr>
        <w:tc>
          <w:tcPr>
            <w:tcW w:type="dxa" w:w="1872"/>
          </w:tcPr>
          <w:p>
            <w:pPr>
              <w:keepNext w:val="0"/>
              <w:spacing w:after="60"/>
            </w:pPr>
            <w:r>
              <w:rPr>
                <w:sz w:val="18"/>
              </w:rPr>
              <w:t>Correctness</w:t>
            </w:r>
          </w:p>
        </w:tc>
        <w:tc>
          <w:tcPr>
            <w:tcW w:type="dxa" w:w="1512"/>
          </w:tcPr>
          <w:p>
            <w:pPr>
              <w:keepNext w:val="0"/>
              <w:spacing w:after="60"/>
            </w:pPr>
            <w:r>
              <w:rPr>
                <w:sz w:val="18"/>
              </w:rPr>
              <w:t>Evaluator 2</w:t>
            </w:r>
          </w:p>
        </w:tc>
        <w:tc>
          <w:tcPr>
            <w:tcW w:type="dxa" w:w="504"/>
          </w:tcPr>
          <w:p>
            <w:pPr>
              <w:keepNext w:val="0"/>
              <w:spacing w:after="60"/>
            </w:pPr>
            <w:r>
              <w:rPr>
                <w:sz w:val="18"/>
              </w:rPr>
              <w:t>8</w:t>
            </w:r>
          </w:p>
        </w:tc>
        <w:tc>
          <w:tcPr>
            <w:tcW w:type="dxa" w:w="2016"/>
          </w:tcPr>
          <w:p>
            <w:pPr>
              <w:keepNext w:val="0"/>
              <w:spacing w:after="60"/>
            </w:pPr>
            <w:r>
              <w:rPr>
                <w:sz w:val="18"/>
              </w:rPr>
              <w:t>0.250</w:t>
            </w:r>
          </w:p>
        </w:tc>
        <w:tc>
          <w:tcPr>
            <w:tcW w:type="dxa" w:w="3456"/>
          </w:tcPr>
          <w:p>
            <w:pPr>
              <w:keepNext w:val="0"/>
              <w:spacing w:after="60"/>
            </w:pPr>
            <w:r>
              <w:rPr>
                <w:sz w:val="18"/>
              </w:rPr>
              <w:t>−0.250 to 0.875</w:t>
            </w:r>
          </w:p>
        </w:tc>
      </w:tr>
      <w:tr>
        <w:trPr>
          <w:cantSplit/>
        </w:trPr>
        <w:tc>
          <w:tcPr>
            <w:tcW w:type="dxa" w:w="1872"/>
          </w:tcPr>
          <w:p>
            <w:pPr>
              <w:keepNext w:val="0"/>
              <w:spacing w:after="60"/>
            </w:pPr>
            <w:r>
              <w:rPr>
                <w:sz w:val="18"/>
              </w:rPr>
              <w:t>Citation support</w:t>
            </w:r>
          </w:p>
        </w:tc>
        <w:tc>
          <w:tcPr>
            <w:tcW w:type="dxa" w:w="1512"/>
          </w:tcPr>
          <w:p>
            <w:pPr>
              <w:keepNext w:val="0"/>
              <w:spacing w:after="60"/>
            </w:pPr>
            <w:r>
              <w:rPr>
                <w:sz w:val="18"/>
              </w:rPr>
              <w:t>Evaluator 1</w:t>
            </w:r>
          </w:p>
        </w:tc>
        <w:tc>
          <w:tcPr>
            <w:tcW w:type="dxa" w:w="504"/>
          </w:tcPr>
          <w:p>
            <w:pPr>
              <w:keepNext w:val="0"/>
              <w:spacing w:after="60"/>
            </w:pPr>
            <w:r>
              <w:rPr>
                <w:sz w:val="18"/>
              </w:rPr>
              <w:t>8</w:t>
            </w:r>
          </w:p>
        </w:tc>
        <w:tc>
          <w:tcPr>
            <w:tcW w:type="dxa" w:w="2016"/>
          </w:tcPr>
          <w:p>
            <w:pPr>
              <w:keepNext w:val="0"/>
              <w:spacing w:after="60"/>
            </w:pPr>
            <w:r>
              <w:rPr>
                <w:sz w:val="18"/>
              </w:rPr>
              <w:t>0.088</w:t>
            </w:r>
          </w:p>
        </w:tc>
        <w:tc>
          <w:tcPr>
            <w:tcW w:type="dxa" w:w="3456"/>
          </w:tcPr>
          <w:p>
            <w:pPr>
              <w:keepNext w:val="0"/>
              <w:spacing w:after="60"/>
            </w:pPr>
            <w:r>
              <w:rPr>
                <w:sz w:val="18"/>
              </w:rPr>
              <w:t>−0.050 to 0.250</w:t>
            </w:r>
          </w:p>
        </w:tc>
      </w:tr>
      <w:tr>
        <w:trPr>
          <w:cantSplit/>
        </w:trPr>
        <w:tc>
          <w:tcPr>
            <w:tcW w:type="dxa" w:w="1872"/>
          </w:tcPr>
          <w:p>
            <w:pPr>
              <w:keepNext w:val="0"/>
              <w:spacing w:after="60"/>
            </w:pPr>
            <w:r>
              <w:rPr>
                <w:sz w:val="18"/>
              </w:rPr>
              <w:t>Citation support</w:t>
            </w:r>
          </w:p>
        </w:tc>
        <w:tc>
          <w:tcPr>
            <w:tcW w:type="dxa" w:w="1512"/>
          </w:tcPr>
          <w:p>
            <w:pPr>
              <w:keepNext w:val="0"/>
              <w:spacing w:after="60"/>
            </w:pPr>
            <w:r>
              <w:rPr>
                <w:sz w:val="18"/>
              </w:rPr>
              <w:t>Evaluator 2</w:t>
            </w:r>
          </w:p>
        </w:tc>
        <w:tc>
          <w:tcPr>
            <w:tcW w:type="dxa" w:w="504"/>
          </w:tcPr>
          <w:p>
            <w:pPr>
              <w:keepNext w:val="0"/>
              <w:spacing w:after="60"/>
            </w:pPr>
            <w:r>
              <w:rPr>
                <w:sz w:val="18"/>
              </w:rPr>
              <w:t>8</w:t>
            </w:r>
          </w:p>
        </w:tc>
        <w:tc>
          <w:tcPr>
            <w:tcW w:type="dxa" w:w="2016"/>
          </w:tcPr>
          <w:p>
            <w:pPr>
              <w:keepNext w:val="0"/>
              <w:spacing w:after="60"/>
            </w:pPr>
            <w:r>
              <w:rPr>
                <w:sz w:val="18"/>
              </w:rPr>
              <w:t>0.091</w:t>
            </w:r>
          </w:p>
        </w:tc>
        <w:tc>
          <w:tcPr>
            <w:tcW w:type="dxa" w:w="3456"/>
          </w:tcPr>
          <w:p>
            <w:pPr>
              <w:keepNext w:val="0"/>
              <w:spacing w:after="60"/>
            </w:pPr>
            <w:r>
              <w:rPr>
                <w:sz w:val="18"/>
              </w:rPr>
              <w:t>−0.083 to 0.283</w:t>
            </w:r>
          </w:p>
        </w:tc>
      </w:tr>
      <w:tr>
        <w:trPr>
          <w:cantSplit/>
        </w:trPr>
        <w:tc>
          <w:tcPr>
            <w:tcW w:type="dxa" w:w="1872"/>
          </w:tcPr>
          <w:p>
            <w:pPr>
              <w:keepNext w:val="0"/>
              <w:spacing w:after="60"/>
            </w:pPr>
            <w:r>
              <w:rPr>
                <w:sz w:val="18"/>
              </w:rPr>
              <w:t>Unsupported claims</w:t>
            </w:r>
          </w:p>
        </w:tc>
        <w:tc>
          <w:tcPr>
            <w:tcW w:type="dxa" w:w="1512"/>
          </w:tcPr>
          <w:p>
            <w:pPr>
              <w:keepNext w:val="0"/>
              <w:spacing w:after="60"/>
            </w:pPr>
            <w:r>
              <w:rPr>
                <w:sz w:val="18"/>
              </w:rPr>
              <w:t>Evaluator 1</w:t>
            </w:r>
          </w:p>
        </w:tc>
        <w:tc>
          <w:tcPr>
            <w:tcW w:type="dxa" w:w="504"/>
          </w:tcPr>
          <w:p>
            <w:pPr>
              <w:keepNext w:val="0"/>
              <w:spacing w:after="60"/>
            </w:pPr>
            <w:r>
              <w:rPr>
                <w:sz w:val="18"/>
              </w:rPr>
              <w:t>8</w:t>
            </w:r>
          </w:p>
        </w:tc>
        <w:tc>
          <w:tcPr>
            <w:tcW w:type="dxa" w:w="2016"/>
          </w:tcPr>
          <w:p>
            <w:pPr>
              <w:keepNext w:val="0"/>
              <w:spacing w:after="60"/>
            </w:pPr>
            <w:r>
              <w:rPr>
                <w:sz w:val="18"/>
              </w:rPr>
              <w:t>−0.108</w:t>
            </w:r>
          </w:p>
        </w:tc>
        <w:tc>
          <w:tcPr>
            <w:tcW w:type="dxa" w:w="3456"/>
          </w:tcPr>
          <w:p>
            <w:pPr>
              <w:keepNext w:val="0"/>
              <w:spacing w:after="60"/>
            </w:pPr>
            <w:r>
              <w:rPr>
                <w:sz w:val="18"/>
              </w:rPr>
              <w:t>−0.400 to 0.100</w:t>
            </w:r>
          </w:p>
        </w:tc>
      </w:tr>
      <w:tr>
        <w:trPr>
          <w:cantSplit/>
        </w:trPr>
        <w:tc>
          <w:tcPr>
            <w:tcW w:type="dxa" w:w="1872"/>
          </w:tcPr>
          <w:p>
            <w:pPr>
              <w:keepNext w:val="0"/>
              <w:spacing w:after="60"/>
            </w:pPr>
            <w:r>
              <w:rPr>
                <w:sz w:val="18"/>
              </w:rPr>
              <w:t>Unsupported claims</w:t>
            </w:r>
          </w:p>
        </w:tc>
        <w:tc>
          <w:tcPr>
            <w:tcW w:type="dxa" w:w="1512"/>
          </w:tcPr>
          <w:p>
            <w:pPr>
              <w:keepNext w:val="0"/>
              <w:spacing w:after="60"/>
            </w:pPr>
            <w:r>
              <w:rPr>
                <w:sz w:val="18"/>
              </w:rPr>
              <w:t>Evaluator 2</w:t>
            </w:r>
          </w:p>
        </w:tc>
        <w:tc>
          <w:tcPr>
            <w:tcW w:type="dxa" w:w="504"/>
          </w:tcPr>
          <w:p>
            <w:pPr>
              <w:keepNext w:val="0"/>
              <w:spacing w:after="60"/>
            </w:pPr>
            <w:r>
              <w:rPr>
                <w:sz w:val="18"/>
              </w:rPr>
              <w:t>8</w:t>
            </w:r>
          </w:p>
        </w:tc>
        <w:tc>
          <w:tcPr>
            <w:tcW w:type="dxa" w:w="2016"/>
          </w:tcPr>
          <w:p>
            <w:pPr>
              <w:keepNext w:val="0"/>
              <w:spacing w:after="60"/>
            </w:pPr>
            <w:r>
              <w:rPr>
                <w:sz w:val="18"/>
              </w:rPr>
              <w:t>−0.108</w:t>
            </w:r>
          </w:p>
        </w:tc>
        <w:tc>
          <w:tcPr>
            <w:tcW w:type="dxa" w:w="3456"/>
          </w:tcPr>
          <w:p>
            <w:pPr>
              <w:keepNext w:val="0"/>
              <w:spacing w:after="60"/>
            </w:pPr>
            <w:r>
              <w:rPr>
                <w:sz w:val="18"/>
              </w:rPr>
              <w:t>−0.400 to 0.100</w:t>
            </w:r>
          </w:p>
        </w:tc>
      </w:tr>
    </w:tbl>
    <w:p>
      <w:r>
        <w:t>Correctness uses the 0–2 scale. Citation support and unsupported claims use per-answer proportions, not percentages or pooled link-count ratios. Positive correctness or support and negative unsupported-claim differences favor corrected text. C03 and C04 improve, C01 worsens, and five questions tie. Every interval includes zero.</w:t>
      </w:r>
    </w:p>
    <w:p>
      <w:pPr>
        <w:pStyle w:val="Heading2"/>
        <w:keepNext/>
      </w:pPr>
      <w:r>
        <w:t>Table S9. Supplementary rerun verification and execution accounting</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00"/>
      </w:tblGrid>
      <w:tr>
        <w:trPr>
          <w:tblHeader/>
          <w:cantSplit/>
        </w:trPr>
        <w:tc>
          <w:tcPr>
            <w:tcW w:type="dxa" w:w="2160"/>
          </w:tcPr>
          <w:p>
            <w:pPr>
              <w:keepNext w:val="0"/>
              <w:spacing w:after="60"/>
            </w:pPr>
            <w:r>
              <w:rPr>
                <w:b/>
                <w:sz w:val="18"/>
              </w:rPr>
              <w:t>Check</w:t>
            </w:r>
          </w:p>
        </w:tc>
        <w:tc>
          <w:tcPr>
            <w:tcW w:type="dxa" w:w="7200"/>
          </w:tcPr>
          <w:p>
            <w:pPr>
              <w:keepNext w:val="0"/>
              <w:spacing w:after="60"/>
            </w:pPr>
            <w:r>
              <w:rPr>
                <w:b/>
                <w:sz w:val="18"/>
              </w:rPr>
              <w:t>Result</w:t>
            </w:r>
          </w:p>
        </w:tc>
      </w:tr>
      <w:tr>
        <w:trPr>
          <w:cantSplit/>
        </w:trPr>
        <w:tc>
          <w:tcPr>
            <w:tcW w:type="dxa" w:w="2160"/>
          </w:tcPr>
          <w:p>
            <w:pPr>
              <w:keepNext w:val="0"/>
              <w:spacing w:after="60"/>
            </w:pPr>
            <w:r>
              <w:rPr>
                <w:sz w:val="18"/>
              </w:rPr>
              <w:t>Expected combinations</w:t>
            </w:r>
          </w:p>
        </w:tc>
        <w:tc>
          <w:tcPr>
            <w:tcW w:type="dxa" w:w="7200"/>
          </w:tcPr>
          <w:p>
            <w:pPr>
              <w:keepNext w:val="0"/>
              <w:spacing w:after="60"/>
            </w:pPr>
            <w:r>
              <w:rPr>
                <w:sz w:val="18"/>
              </w:rPr>
              <w:t>540 unique question–system–repetition combinations; none missing or extra</w:t>
            </w:r>
          </w:p>
        </w:tc>
      </w:tr>
      <w:tr>
        <w:trPr>
          <w:cantSplit/>
        </w:trPr>
        <w:tc>
          <w:tcPr>
            <w:tcW w:type="dxa" w:w="2160"/>
          </w:tcPr>
          <w:p>
            <w:pPr>
              <w:keepNext w:val="0"/>
              <w:spacing w:after="60"/>
            </w:pPr>
            <w:r>
              <w:rPr>
                <w:sz w:val="18"/>
              </w:rPr>
              <w:t>Completed trials</w:t>
            </w:r>
          </w:p>
        </w:tc>
        <w:tc>
          <w:tcPr>
            <w:tcW w:type="dxa" w:w="7200"/>
          </w:tcPr>
          <w:p>
            <w:pPr>
              <w:keepNext w:val="0"/>
              <w:spacing w:after="60"/>
            </w:pPr>
            <w:r>
              <w:rPr>
                <w:sz w:val="18"/>
              </w:rPr>
              <w:t>540 ok; no degraded final records, empty answers or recorded fallbacks</w:t>
            </w:r>
          </w:p>
        </w:tc>
      </w:tr>
      <w:tr>
        <w:trPr>
          <w:cantSplit/>
        </w:trPr>
        <w:tc>
          <w:tcPr>
            <w:tcW w:type="dxa" w:w="2160"/>
          </w:tcPr>
          <w:p>
            <w:pPr>
              <w:keepNext w:val="0"/>
              <w:spacing w:after="60"/>
            </w:pPr>
            <w:r>
              <w:rPr>
                <w:sz w:val="18"/>
              </w:rPr>
              <w:t>Additional attempt</w:t>
            </w:r>
          </w:p>
        </w:tc>
        <w:tc>
          <w:tcPr>
            <w:tcW w:type="dxa" w:w="7200"/>
          </w:tcPr>
          <w:p>
            <w:pPr>
              <w:keepNext w:val="0"/>
              <w:spacing w:after="60"/>
            </w:pPr>
            <w:r>
              <w:rPr>
                <w:sz w:val="18"/>
              </w:rPr>
              <w:t>One archived C08_GYM_2 failure with credit_balance_exhausted; successful retry retained</w:t>
            </w:r>
          </w:p>
        </w:tc>
      </w:tr>
      <w:tr>
        <w:trPr>
          <w:cantSplit/>
        </w:trPr>
        <w:tc>
          <w:tcPr>
            <w:tcW w:type="dxa" w:w="2160"/>
          </w:tcPr>
          <w:p>
            <w:pPr>
              <w:keepNext w:val="0"/>
              <w:spacing w:after="60"/>
            </w:pPr>
            <w:r>
              <w:rPr>
                <w:sz w:val="18"/>
              </w:rPr>
              <w:t>Formal attempts</w:t>
            </w:r>
          </w:p>
        </w:tc>
        <w:tc>
          <w:tcPr>
            <w:tcW w:type="dxa" w:w="7200"/>
          </w:tcPr>
          <w:p>
            <w:pPr>
              <w:keepNext w:val="0"/>
              <w:spacing w:after="60"/>
            </w:pPr>
            <w:r>
              <w:rPr>
                <w:sz w:val="18"/>
              </w:rPr>
              <w:t>541 including the archived failure; smoke checks excluded</w:t>
            </w:r>
          </w:p>
        </w:tc>
      </w:tr>
      <w:tr>
        <w:trPr>
          <w:cantSplit/>
        </w:trPr>
        <w:tc>
          <w:tcPr>
            <w:tcW w:type="dxa" w:w="2160"/>
          </w:tcPr>
          <w:p>
            <w:pPr>
              <w:keepNext w:val="0"/>
              <w:spacing w:after="60"/>
            </w:pPr>
            <w:r>
              <w:rPr>
                <w:sz w:val="18"/>
              </w:rPr>
              <w:t>Frozen inputs</w:t>
            </w:r>
          </w:p>
        </w:tc>
        <w:tc>
          <w:tcPr>
            <w:tcW w:type="dxa" w:w="7200"/>
          </w:tcPr>
          <w:p>
            <w:pPr>
              <w:keepNext w:val="0"/>
              <w:spacing w:after="60"/>
            </w:pPr>
            <w:r>
              <w:rPr>
                <w:sz w:val="18"/>
              </w:rPr>
              <w:t>All manifest hashes match; all completed trials reference the same freeze</w:t>
            </w:r>
          </w:p>
        </w:tc>
      </w:tr>
      <w:tr>
        <w:trPr>
          <w:cantSplit/>
        </w:trPr>
        <w:tc>
          <w:tcPr>
            <w:tcW w:type="dxa" w:w="2160"/>
          </w:tcPr>
          <w:p>
            <w:pPr>
              <w:keepNext w:val="0"/>
              <w:spacing w:after="60"/>
            </w:pPr>
            <w:r>
              <w:rPr>
                <w:sz w:val="18"/>
              </w:rPr>
              <w:t>Context matching</w:t>
            </w:r>
          </w:p>
        </w:tc>
        <w:tc>
          <w:tcPr>
            <w:tcW w:type="dxa" w:w="7200"/>
          </w:tcPr>
          <w:p>
            <w:pPr>
              <w:keepNext w:val="0"/>
              <w:spacing w:after="60"/>
            </w:pPr>
            <w:r>
              <w:rPr>
                <w:sz w:val="18"/>
              </w:rPr>
              <w:t>200/200 saved Flow–baseline message comparisons match</w:t>
            </w:r>
          </w:p>
        </w:tc>
      </w:tr>
      <w:tr>
        <w:trPr>
          <w:cantSplit/>
        </w:trPr>
        <w:tc>
          <w:tcPr>
            <w:tcW w:type="dxa" w:w="2160"/>
          </w:tcPr>
          <w:p>
            <w:pPr>
              <w:keepNext w:val="0"/>
              <w:spacing w:after="60"/>
            </w:pPr>
            <w:r>
              <w:rPr>
                <w:sz w:val="18"/>
              </w:rPr>
              <w:t>Rated answers</w:t>
            </w:r>
          </w:p>
        </w:tc>
        <w:tc>
          <w:tcPr>
            <w:tcW w:type="dxa" w:w="7200"/>
          </w:tcPr>
          <w:p>
            <w:pPr>
              <w:keepNext w:val="0"/>
              <w:spacing w:after="60"/>
            </w:pPr>
            <w:r>
              <w:rPr>
                <w:sz w:val="18"/>
              </w:rPr>
              <w:t>108/108 primary answers rated by each evaluator; repetition zero fixed before generation</w:t>
            </w:r>
          </w:p>
        </w:tc>
      </w:tr>
      <w:tr>
        <w:trPr>
          <w:cantSplit/>
        </w:trPr>
        <w:tc>
          <w:tcPr>
            <w:tcW w:type="dxa" w:w="2160"/>
          </w:tcPr>
          <w:p>
            <w:pPr>
              <w:keepNext w:val="0"/>
              <w:spacing w:after="60"/>
            </w:pPr>
            <w:r>
              <w:rPr>
                <w:sz w:val="18"/>
              </w:rPr>
              <w:t>Routing</w:t>
            </w:r>
          </w:p>
        </w:tc>
        <w:tc>
          <w:tcPr>
            <w:tcW w:type="dxa" w:w="7200"/>
          </w:tcPr>
          <w:p>
            <w:pPr>
              <w:keepNext w:val="0"/>
              <w:spacing w:after="60"/>
            </w:pPr>
            <w:r>
              <w:rPr>
                <w:sz w:val="18"/>
              </w:rPr>
              <w:t>18/20 questions use Gym; C06 and D09 use Flow in all five repetitions</w:t>
            </w:r>
          </w:p>
        </w:tc>
      </w:tr>
      <w:tr>
        <w:trPr>
          <w:cantSplit/>
        </w:trPr>
        <w:tc>
          <w:tcPr>
            <w:tcW w:type="dxa" w:w="2160"/>
          </w:tcPr>
          <w:p>
            <w:pPr>
              <w:keepNext w:val="0"/>
              <w:spacing w:after="60"/>
            </w:pPr>
            <w:r>
              <w:rPr>
                <w:sz w:val="18"/>
              </w:rPr>
              <w:t>Rater corrections</w:t>
            </w:r>
          </w:p>
        </w:tc>
        <w:tc>
          <w:tcPr>
            <w:tcW w:type="dxa" w:w="7200"/>
          </w:tcPr>
          <w:p>
            <w:pPr>
              <w:keepNext w:val="0"/>
              <w:spacing w:after="60"/>
            </w:pPr>
            <w:r>
              <w:rPr>
                <w:sz w:val="18"/>
              </w:rPr>
              <w:t>Evaluator 2 revised B050/B054 citation and claim counts; correctness unchanged; originals retained</w:t>
            </w:r>
          </w:p>
        </w:tc>
      </w:tr>
      <w:tr>
        <w:trPr>
          <w:cantSplit/>
        </w:trPr>
        <w:tc>
          <w:tcPr>
            <w:tcW w:type="dxa" w:w="2160"/>
          </w:tcPr>
          <w:p>
            <w:pPr>
              <w:keepNext w:val="0"/>
              <w:spacing w:after="60"/>
            </w:pPr>
            <w:r>
              <w:rPr>
                <w:sz w:val="18"/>
              </w:rPr>
              <w:t>Historical pilot</w:t>
            </w:r>
          </w:p>
        </w:tc>
        <w:tc>
          <w:tcPr>
            <w:tcW w:type="dxa" w:w="7200"/>
          </w:tcPr>
          <w:p>
            <w:pPr>
              <w:keepNext w:val="0"/>
              <w:spacing w:after="60"/>
            </w:pPr>
            <w:r>
              <w:rPr>
                <w:sz w:val="18"/>
              </w:rPr>
              <w:t>278 ok, 94 degraded, 168 failed; separate from amended rerun</w:t>
            </w:r>
          </w:p>
        </w:tc>
      </w:tr>
    </w:tbl>
    <w:p>
      <w:r>
        <w:t>This audit establishes record completeness and input identity for the rerun. It does not establish population generalization, error-free source transcription, or equality of retrieval trajectories between fixed-context baselines and agentic methods.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Authors</dc:creator>
  <cp:keywords/>
  <dc:description>generated by python-docx</dc:description>
  <cp:lastModifiedBy>Authors</cp:lastModifiedBy>
  <cp:revision>1</cp:revision>
  <dcterms:created xsi:type="dcterms:W3CDTF">2013-12-23T23:15:00Z</dcterms:created>
  <dcterms:modified xsi:type="dcterms:W3CDTF">2013-12-23T23:15:00Z</dcterms:modified>
  <cp:category/>
</cp:coreProperties>
</file>