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707802" w14:textId="001E546B" w:rsidR="0042784D" w:rsidRDefault="00FD441B" w:rsidP="00FD441B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CAPSTONE PROJECT REPORT: DEG EXPLORATION OF BMP SIGNALING AS THERAUPETIC AGENT IN OVARIAN CANCER</w:t>
      </w:r>
    </w:p>
    <w:p w14:paraId="0949D3F6" w14:textId="65BE266D" w:rsidR="00FD441B" w:rsidRPr="00FD441B" w:rsidRDefault="00FD441B" w:rsidP="00FD441B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54_Ashar Kurnia Dian </w:t>
      </w:r>
      <w:proofErr w:type="spellStart"/>
      <w:r>
        <w:rPr>
          <w:rFonts w:ascii="Times New Roman" w:hAnsi="Times New Roman" w:cs="Times New Roman"/>
        </w:rPr>
        <w:t>Prambodo</w:t>
      </w:r>
      <w:proofErr w:type="spellEnd"/>
    </w:p>
    <w:p w14:paraId="58C9B0E5" w14:textId="5160CA9D" w:rsidR="009172AB" w:rsidRDefault="003744D8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Introduction</w:t>
      </w:r>
    </w:p>
    <w:p w14:paraId="247611DC" w14:textId="2EB5058A" w:rsidR="0042784D" w:rsidRPr="0042784D" w:rsidRDefault="0042784D" w:rsidP="00715C3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</w:rPr>
        <w:t xml:space="preserve">Ovarian cancer (OC) is the most lethal gynaecologic cancer. Epithelial OC is the common type with 70% consist of high serious carcinoma. Bone </w:t>
      </w:r>
      <w:proofErr w:type="gramStart"/>
      <w:r>
        <w:rPr>
          <w:rFonts w:ascii="Times New Roman" w:hAnsi="Times New Roman" w:cs="Times New Roman"/>
        </w:rPr>
        <w:t>morphogenic  protein</w:t>
      </w:r>
      <w:proofErr w:type="gramEnd"/>
      <w:r>
        <w:rPr>
          <w:rFonts w:ascii="Times New Roman" w:hAnsi="Times New Roman" w:cs="Times New Roman"/>
        </w:rPr>
        <w:t xml:space="preserve"> (BMPs) belong to transforming growth factor β (TGF- β) </w:t>
      </w:r>
      <w:proofErr w:type="gramStart"/>
      <w:r>
        <w:rPr>
          <w:rFonts w:ascii="Times New Roman" w:hAnsi="Times New Roman" w:cs="Times New Roman"/>
        </w:rPr>
        <w:t>family..</w:t>
      </w:r>
      <w:proofErr w:type="gramEnd"/>
      <w:r>
        <w:rPr>
          <w:rFonts w:ascii="Times New Roman" w:hAnsi="Times New Roman" w:cs="Times New Roman"/>
        </w:rPr>
        <w:t xml:space="preserve"> BMPs have a role </w:t>
      </w:r>
      <w:r w:rsidR="00715C3E">
        <w:rPr>
          <w:rFonts w:ascii="Times New Roman" w:hAnsi="Times New Roman" w:cs="Times New Roman"/>
        </w:rPr>
        <w:t xml:space="preserve">in morphogenic of different organs. BMP ligands bind to two type of cell surface kinase-associated receptors called type 1 and type II receptors. </w:t>
      </w:r>
      <w:r w:rsidR="00715C3E" w:rsidRPr="00715C3E">
        <w:rPr>
          <w:rFonts w:ascii="Times New Roman" w:hAnsi="Times New Roman" w:cs="Times New Roman"/>
        </w:rPr>
        <w:t>In OC, BMP signalling has</w:t>
      </w:r>
      <w:r w:rsidR="00715C3E">
        <w:rPr>
          <w:rFonts w:ascii="Times New Roman" w:hAnsi="Times New Roman" w:cs="Times New Roman"/>
        </w:rPr>
        <w:t xml:space="preserve"> </w:t>
      </w:r>
      <w:r w:rsidR="00715C3E" w:rsidRPr="00715C3E">
        <w:rPr>
          <w:rFonts w:ascii="Times New Roman" w:hAnsi="Times New Roman" w:cs="Times New Roman"/>
        </w:rPr>
        <w:t>been reported to play tumour-promoting roles by enhancing</w:t>
      </w:r>
      <w:r w:rsidR="00715C3E">
        <w:rPr>
          <w:rFonts w:ascii="Times New Roman" w:hAnsi="Times New Roman" w:cs="Times New Roman"/>
        </w:rPr>
        <w:t xml:space="preserve"> </w:t>
      </w:r>
      <w:r w:rsidR="00715C3E" w:rsidRPr="00715C3E">
        <w:rPr>
          <w:rFonts w:ascii="Times New Roman" w:hAnsi="Times New Roman" w:cs="Times New Roman"/>
        </w:rPr>
        <w:t>cell proliferation, and has been found to be associated</w:t>
      </w:r>
      <w:r w:rsidR="00715C3E">
        <w:rPr>
          <w:rFonts w:ascii="Times New Roman" w:hAnsi="Times New Roman" w:cs="Times New Roman"/>
        </w:rPr>
        <w:t xml:space="preserve"> </w:t>
      </w:r>
      <w:r w:rsidR="00715C3E" w:rsidRPr="00715C3E">
        <w:rPr>
          <w:rFonts w:ascii="Times New Roman" w:hAnsi="Times New Roman" w:cs="Times New Roman"/>
        </w:rPr>
        <w:t>with poor prognosis</w:t>
      </w:r>
      <w:r w:rsidR="00715C3E">
        <w:rPr>
          <w:rFonts w:ascii="Times New Roman" w:hAnsi="Times New Roman" w:cs="Times New Roman"/>
        </w:rPr>
        <w:t>.</w:t>
      </w:r>
    </w:p>
    <w:p w14:paraId="4FE67424" w14:textId="0ECC2338" w:rsidR="009172AB" w:rsidRDefault="003744D8" w:rsidP="003744D8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Method</w:t>
      </w:r>
    </w:p>
    <w:p w14:paraId="06429AF9" w14:textId="2A92206B" w:rsidR="00715C3E" w:rsidRPr="00715C3E" w:rsidRDefault="00715C3E" w:rsidP="003744D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ab/>
      </w:r>
      <w:r w:rsidR="00723300">
        <w:rPr>
          <w:rFonts w:ascii="Times New Roman" w:hAnsi="Times New Roman" w:cs="Times New Roman"/>
        </w:rPr>
        <w:t>RNA-</w:t>
      </w:r>
      <w:proofErr w:type="spellStart"/>
      <w:r w:rsidR="00723300">
        <w:rPr>
          <w:rFonts w:ascii="Times New Roman" w:hAnsi="Times New Roman" w:cs="Times New Roman"/>
        </w:rPr>
        <w:t>seq</w:t>
      </w:r>
      <w:proofErr w:type="spellEnd"/>
      <w:r w:rsidR="0001203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datasets of OC samples were obtained from EBI (</w:t>
      </w:r>
      <w:hyperlink r:id="rId4" w:history="1">
        <w:r w:rsidRPr="00806A73">
          <w:rPr>
            <w:rStyle w:val="Hyperlink"/>
            <w:rFonts w:ascii="Times New Roman" w:hAnsi="Times New Roman" w:cs="Times New Roman"/>
          </w:rPr>
          <w:t>https://www.ebi.ac.uk/gxa/experiments/E-MTAB-9479/Experiment%20Design</w:t>
        </w:r>
      </w:hyperlink>
      <w:r>
        <w:rPr>
          <w:rFonts w:ascii="Times New Roman" w:hAnsi="Times New Roman" w:cs="Times New Roman"/>
        </w:rPr>
        <w:t>).</w:t>
      </w:r>
      <w:r w:rsidR="0001203B">
        <w:rPr>
          <w:rFonts w:ascii="Times New Roman" w:hAnsi="Times New Roman" w:cs="Times New Roman"/>
        </w:rPr>
        <w:t xml:space="preserve"> The datasets include 19 post-chemotherapy and 19 pre-chemotherapy samples.</w:t>
      </w:r>
      <w:r>
        <w:rPr>
          <w:rFonts w:ascii="Times New Roman" w:hAnsi="Times New Roman" w:cs="Times New Roman"/>
        </w:rPr>
        <w:t xml:space="preserve"> The DEG analysis are performed with Deseq2 library in R software with adjustment p-value &lt; </w:t>
      </w:r>
      <w:proofErr w:type="gramStart"/>
      <w:r>
        <w:rPr>
          <w:rFonts w:ascii="Times New Roman" w:hAnsi="Times New Roman" w:cs="Times New Roman"/>
        </w:rPr>
        <w:t>0.05</w:t>
      </w:r>
      <w:r w:rsidR="008D094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,</w:t>
      </w:r>
      <w:proofErr w:type="gramEnd"/>
      <w:r>
        <w:rPr>
          <w:rFonts w:ascii="Times New Roman" w:hAnsi="Times New Roman" w:cs="Times New Roman"/>
        </w:rPr>
        <w:t xml:space="preserve"> log2 fold change &gt; 2 for upregulated gene, and log2 fold change &lt; 0.5</w:t>
      </w:r>
      <w:r w:rsidR="003769A2">
        <w:rPr>
          <w:rFonts w:ascii="Times New Roman" w:hAnsi="Times New Roman" w:cs="Times New Roman"/>
        </w:rPr>
        <w:t>.</w:t>
      </w:r>
      <w:r w:rsidR="008D094B">
        <w:rPr>
          <w:rFonts w:ascii="Times New Roman" w:hAnsi="Times New Roman" w:cs="Times New Roman"/>
        </w:rPr>
        <w:t xml:space="preserve"> A p-value 0.05 </w:t>
      </w:r>
      <w:r w:rsidR="00FD441B">
        <w:rPr>
          <w:rFonts w:ascii="Times New Roman" w:hAnsi="Times New Roman" w:cs="Times New Roman"/>
        </w:rPr>
        <w:t>considered</w:t>
      </w:r>
      <w:r w:rsidR="008D094B">
        <w:rPr>
          <w:rFonts w:ascii="Times New Roman" w:hAnsi="Times New Roman" w:cs="Times New Roman"/>
        </w:rPr>
        <w:t xml:space="preserve"> as significant.</w:t>
      </w:r>
      <w:r w:rsidR="003769A2">
        <w:rPr>
          <w:rFonts w:ascii="Times New Roman" w:hAnsi="Times New Roman" w:cs="Times New Roman"/>
        </w:rPr>
        <w:t xml:space="preserve"> </w:t>
      </w:r>
      <w:proofErr w:type="spellStart"/>
      <w:r w:rsidR="0001203B">
        <w:rPr>
          <w:rFonts w:ascii="Times New Roman" w:hAnsi="Times New Roman" w:cs="Times New Roman"/>
        </w:rPr>
        <w:t>clusterProfiler</w:t>
      </w:r>
      <w:proofErr w:type="spellEnd"/>
      <w:r w:rsidR="0001203B">
        <w:rPr>
          <w:rFonts w:ascii="Times New Roman" w:hAnsi="Times New Roman" w:cs="Times New Roman"/>
        </w:rPr>
        <w:t xml:space="preserve"> package in R software are used to GO enrichment analysis and KEGG pathway analysis are using DAVID </w:t>
      </w:r>
      <w:proofErr w:type="gramStart"/>
      <w:r w:rsidR="0001203B">
        <w:rPr>
          <w:rFonts w:ascii="Times New Roman" w:hAnsi="Times New Roman" w:cs="Times New Roman"/>
        </w:rPr>
        <w:t xml:space="preserve">( </w:t>
      </w:r>
      <w:r w:rsidR="0001203B" w:rsidRPr="0001203B">
        <w:rPr>
          <w:rFonts w:ascii="Times New Roman" w:hAnsi="Times New Roman" w:cs="Times New Roman"/>
        </w:rPr>
        <w:t>https://davidbioinformatics.nih.gov/home.jsp</w:t>
      </w:r>
      <w:proofErr w:type="gramEnd"/>
      <w:r w:rsidR="0001203B">
        <w:rPr>
          <w:rFonts w:ascii="Times New Roman" w:hAnsi="Times New Roman" w:cs="Times New Roman"/>
        </w:rPr>
        <w:t>).</w:t>
      </w:r>
    </w:p>
    <w:p w14:paraId="6C29ADE0" w14:textId="160053A7" w:rsidR="00E8470A" w:rsidRDefault="00EA09EF" w:rsidP="008D094B">
      <w:pPr>
        <w:jc w:val="both"/>
        <w:rPr>
          <w:rFonts w:ascii="Times New Roman" w:hAnsi="Times New Roman" w:cs="Times New Roman"/>
          <w:b/>
          <w:bCs/>
        </w:rPr>
      </w:pPr>
      <w:r w:rsidRPr="00EA09EF">
        <w:rPr>
          <w:rFonts w:ascii="Times New Roman" w:hAnsi="Times New Roman" w:cs="Times New Roman"/>
          <w:b/>
          <w:bCs/>
        </w:rPr>
        <w:t>Result &amp; Interpre</w:t>
      </w:r>
      <w:r>
        <w:rPr>
          <w:rFonts w:ascii="Times New Roman" w:hAnsi="Times New Roman" w:cs="Times New Roman"/>
          <w:b/>
          <w:bCs/>
        </w:rPr>
        <w:t>tation</w:t>
      </w:r>
    </w:p>
    <w:p w14:paraId="031BCC69" w14:textId="77777777" w:rsidR="00E8470A" w:rsidRPr="00E8470A" w:rsidRDefault="00E8470A" w:rsidP="008D094B">
      <w:pPr>
        <w:jc w:val="both"/>
        <w:rPr>
          <w:rFonts w:ascii="Times New Roman" w:hAnsi="Times New Roman" w:cs="Times New Roman"/>
          <w:b/>
          <w:bCs/>
        </w:rPr>
      </w:pPr>
    </w:p>
    <w:p w14:paraId="12CB0043" w14:textId="4F114CDA" w:rsidR="00121D5B" w:rsidRDefault="00EA09EF" w:rsidP="00FD441B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 </w:t>
      </w:r>
    </w:p>
    <w:p w14:paraId="7383BC3A" w14:textId="23971AF5" w:rsidR="00121D5B" w:rsidRDefault="00216EAA" w:rsidP="00EA09EF">
      <w:pPr>
        <w:ind w:firstLine="72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Conclusion</w:t>
      </w:r>
    </w:p>
    <w:p w14:paraId="21204269" w14:textId="016A5C7E" w:rsidR="00216EAA" w:rsidRPr="00216EAA" w:rsidRDefault="0099243A" w:rsidP="00216EAA">
      <w:pPr>
        <w:ind w:left="720"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Depression co-occurs with asthma can make dysregulation of immune function of T-cell and make condition more severe than depressive or </w:t>
      </w:r>
      <w:r w:rsidR="00FE4F6F">
        <w:rPr>
          <w:rFonts w:ascii="Times New Roman" w:hAnsi="Times New Roman" w:cs="Times New Roman"/>
        </w:rPr>
        <w:t>asthma alone</w:t>
      </w:r>
      <w:r>
        <w:rPr>
          <w:rFonts w:ascii="Times New Roman" w:hAnsi="Times New Roman" w:cs="Times New Roman"/>
        </w:rPr>
        <w:t>.</w:t>
      </w:r>
      <w:r w:rsidR="00FE4F6F">
        <w:rPr>
          <w:rFonts w:ascii="Times New Roman" w:hAnsi="Times New Roman" w:cs="Times New Roman"/>
        </w:rPr>
        <w:t xml:space="preserve"> The DEG analysis also shows biomarker gene in depressive or asthma condition.</w:t>
      </w:r>
      <w:r>
        <w:rPr>
          <w:rFonts w:ascii="Times New Roman" w:hAnsi="Times New Roman" w:cs="Times New Roman"/>
        </w:rPr>
        <w:t xml:space="preserve"> </w:t>
      </w:r>
      <w:r w:rsidR="00216EAA">
        <w:rPr>
          <w:rFonts w:ascii="Times New Roman" w:hAnsi="Times New Roman" w:cs="Times New Roman"/>
        </w:rPr>
        <w:t>Different treatment strategies and potential targeted upregulated gene are suggested for personalized medicine approaches.</w:t>
      </w:r>
    </w:p>
    <w:p w14:paraId="37A9EC19" w14:textId="77777777" w:rsidR="00216EAA" w:rsidRDefault="00216EAA" w:rsidP="00EA09EF">
      <w:pPr>
        <w:ind w:firstLine="720"/>
        <w:rPr>
          <w:rFonts w:ascii="Times New Roman" w:hAnsi="Times New Roman" w:cs="Times New Roman"/>
          <w:b/>
          <w:bCs/>
        </w:rPr>
      </w:pPr>
    </w:p>
    <w:p w14:paraId="605710BF" w14:textId="77777777" w:rsidR="00121D5B" w:rsidRDefault="00121D5B" w:rsidP="00EA09EF">
      <w:pPr>
        <w:ind w:firstLine="720"/>
        <w:rPr>
          <w:rFonts w:ascii="Times New Roman" w:hAnsi="Times New Roman" w:cs="Times New Roman"/>
          <w:b/>
          <w:bCs/>
        </w:rPr>
      </w:pPr>
    </w:p>
    <w:p w14:paraId="7F9DC154" w14:textId="77777777" w:rsidR="00121D5B" w:rsidRDefault="00121D5B" w:rsidP="00EA09EF">
      <w:pPr>
        <w:ind w:firstLine="720"/>
        <w:rPr>
          <w:rFonts w:ascii="Times New Roman" w:hAnsi="Times New Roman" w:cs="Times New Roman"/>
          <w:b/>
          <w:bCs/>
        </w:rPr>
      </w:pPr>
    </w:p>
    <w:p w14:paraId="698D061A" w14:textId="77777777" w:rsidR="00121D5B" w:rsidRDefault="00121D5B" w:rsidP="00EA09EF">
      <w:pPr>
        <w:ind w:firstLine="720"/>
        <w:rPr>
          <w:rFonts w:ascii="Times New Roman" w:hAnsi="Times New Roman" w:cs="Times New Roman"/>
          <w:b/>
          <w:bCs/>
        </w:rPr>
      </w:pPr>
    </w:p>
    <w:p w14:paraId="67E4CAB1" w14:textId="77777777" w:rsidR="00121D5B" w:rsidRDefault="00121D5B" w:rsidP="00EA09EF">
      <w:pPr>
        <w:ind w:firstLine="720"/>
        <w:rPr>
          <w:rFonts w:ascii="Times New Roman" w:hAnsi="Times New Roman" w:cs="Times New Roman"/>
          <w:b/>
          <w:bCs/>
        </w:rPr>
      </w:pPr>
    </w:p>
    <w:p w14:paraId="187A5210" w14:textId="5BE691D2" w:rsidR="008B6DD0" w:rsidRPr="00EA09EF" w:rsidRDefault="008B6DD0" w:rsidP="00EA09EF">
      <w:pPr>
        <w:ind w:firstLine="720"/>
        <w:rPr>
          <w:rFonts w:ascii="Times New Roman" w:hAnsi="Times New Roman" w:cs="Times New Roman"/>
          <w:b/>
          <w:bCs/>
        </w:rPr>
      </w:pPr>
    </w:p>
    <w:sectPr w:rsidR="008B6DD0" w:rsidRPr="00EA09EF" w:rsidSect="009172AB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1E3"/>
    <w:rsid w:val="0001203B"/>
    <w:rsid w:val="00045143"/>
    <w:rsid w:val="00121D5B"/>
    <w:rsid w:val="00152F7D"/>
    <w:rsid w:val="00212426"/>
    <w:rsid w:val="00216EAA"/>
    <w:rsid w:val="00266C47"/>
    <w:rsid w:val="003744D8"/>
    <w:rsid w:val="003769A2"/>
    <w:rsid w:val="0038266B"/>
    <w:rsid w:val="0042784D"/>
    <w:rsid w:val="00452838"/>
    <w:rsid w:val="004838FC"/>
    <w:rsid w:val="00556497"/>
    <w:rsid w:val="006F2B5C"/>
    <w:rsid w:val="00715C3E"/>
    <w:rsid w:val="00723300"/>
    <w:rsid w:val="0082538A"/>
    <w:rsid w:val="008B6DD0"/>
    <w:rsid w:val="008D094B"/>
    <w:rsid w:val="009172AB"/>
    <w:rsid w:val="0098332B"/>
    <w:rsid w:val="0099243A"/>
    <w:rsid w:val="00A646BB"/>
    <w:rsid w:val="00A9256B"/>
    <w:rsid w:val="00AA61E3"/>
    <w:rsid w:val="00B72CC5"/>
    <w:rsid w:val="00C80478"/>
    <w:rsid w:val="00E8470A"/>
    <w:rsid w:val="00EA09EF"/>
    <w:rsid w:val="00F4417C"/>
    <w:rsid w:val="00F77F87"/>
    <w:rsid w:val="00FD441B"/>
    <w:rsid w:val="00FE4F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853892"/>
  <w15:chartTrackingRefBased/>
  <w15:docId w15:val="{D666A547-BCCC-41E8-8AA5-4CE95DF595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61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61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61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61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61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61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61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61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61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61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61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61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61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61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61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61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61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61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61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61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61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61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61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61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61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61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61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61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61E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15C3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5C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ebi.ac.uk/gxa/experiments/E-MTAB-9479/Experiment%20Desig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448</TotalTime>
  <Pages>1</Pages>
  <Words>262</Words>
  <Characters>1495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Ashar Kurnia</dc:creator>
  <cp:keywords/>
  <dc:description/>
  <cp:lastModifiedBy>Ashar Kurnia</cp:lastModifiedBy>
  <cp:revision>12</cp:revision>
  <dcterms:created xsi:type="dcterms:W3CDTF">2026-02-09T10:12:00Z</dcterms:created>
  <dcterms:modified xsi:type="dcterms:W3CDTF">2026-03-01T09:46:00Z</dcterms:modified>
</cp:coreProperties>
</file>