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Mini‑Universe Use Cases (EN)</w:t>
      </w:r>
    </w:p>
    <w:p>
      <w:r>
        <w:t> </w:t>
      </w:r>
    </w:p>
    <w:p>
      <w:r>
        <w:t xml:space="preserve">CHSH seed reproducibility; Double‑slit fringes; Vacuum↔Matter toy model; Black‑box swap protocol.</w:t>
      </w:r>
    </w:p>
    <w:sectPr/>
  </w:body>
</w:document>
</file>