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8190"/>
        <w:tblGridChange w:id="0">
          <w:tblGrid>
            <w:gridCol w:w="1530"/>
            <w:gridCol w:w="819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63501</wp:posOffset>
                  </wp:positionH>
                  <wp:positionV relativeFrom="paragraph">
                    <wp:posOffset>-81914</wp:posOffset>
                  </wp:positionV>
                  <wp:extent cx="824230" cy="626745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230" cy="626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bottom w:color="008000" w:space="0" w:sz="18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b w:val="1"/>
                <w:color w:val="008000"/>
                <w:sz w:val="30"/>
                <w:szCs w:val="30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30"/>
                <w:szCs w:val="30"/>
                <w:rtl w:val="0"/>
              </w:rPr>
              <w:t xml:space="preserve">रेलवे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30"/>
                <w:szCs w:val="30"/>
                <w:rtl w:val="0"/>
              </w:rPr>
              <w:t xml:space="preserve">सूचना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30"/>
                <w:szCs w:val="30"/>
                <w:rtl w:val="0"/>
              </w:rPr>
              <w:t xml:space="preserve">प्रणाली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30"/>
                <w:szCs w:val="30"/>
                <w:rtl w:val="0"/>
              </w:rPr>
              <w:t xml:space="preserve">केन्द्र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color w:val="008000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22"/>
                <w:szCs w:val="22"/>
                <w:rtl w:val="0"/>
              </w:rPr>
              <w:t xml:space="preserve">रेल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22"/>
                <w:szCs w:val="22"/>
                <w:rtl w:val="0"/>
              </w:rPr>
              <w:t xml:space="preserve">मंत्रालय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22"/>
                <w:szCs w:val="22"/>
                <w:rtl w:val="0"/>
              </w:rPr>
              <w:t xml:space="preserve">भारत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22"/>
                <w:szCs w:val="22"/>
                <w:rtl w:val="0"/>
              </w:rPr>
              <w:t xml:space="preserve">सरका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ourier New" w:cs="Courier New" w:eastAsia="Courier New" w:hAnsi="Courier New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22"/>
                <w:szCs w:val="22"/>
                <w:rtl w:val="0"/>
              </w:rPr>
              <w:t xml:space="preserve">र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22"/>
                <w:szCs w:val="22"/>
                <w:rtl w:val="0"/>
              </w:rPr>
              <w:t xml:space="preserve">का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Nirmala UI" w:cs="Nirmala UI" w:eastAsia="Nirmala UI" w:hAnsi="Nirmala UI"/>
                <w:color w:val="008000"/>
                <w:sz w:val="22"/>
                <w:szCs w:val="22"/>
                <w:rtl w:val="0"/>
              </w:rPr>
              <w:t xml:space="preserve">संगठन</w:t>
            </w:r>
            <w:r w:rsidDel="00000000" w:rsidR="00000000" w:rsidRPr="00000000">
              <w:rPr>
                <w:rFonts w:ascii="Mangal" w:cs="Mangal" w:eastAsia="Mangal" w:hAnsi="Mangal"/>
                <w:color w:val="008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8" w:val="single"/>
            </w:tcBorders>
          </w:tcPr>
          <w:p w:rsidR="00000000" w:rsidDel="00000000" w:rsidP="00000000" w:rsidRDefault="00000000" w:rsidRPr="00000000" w14:paraId="00000007">
            <w:pPr>
              <w:spacing w:line="400" w:lineRule="auto"/>
              <w:jc w:val="center"/>
              <w:rPr>
                <w:rFonts w:ascii="Arial" w:cs="Arial" w:eastAsia="Arial" w:hAnsi="Arial"/>
                <w:b w:val="1"/>
                <w:smallCaps w:val="1"/>
                <w:color w:val="008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8000"/>
                <w:sz w:val="28"/>
                <w:szCs w:val="28"/>
                <w:rtl w:val="0"/>
              </w:rPr>
              <w:t xml:space="preserve">CENTRE FOR RAILWAY INFORMATION SYSTEMS</w:t>
            </w:r>
          </w:p>
          <w:p w:rsidR="00000000" w:rsidDel="00000000" w:rsidP="00000000" w:rsidRDefault="00000000" w:rsidRPr="00000000" w14:paraId="00000008">
            <w:pPr>
              <w:spacing w:line="400" w:lineRule="auto"/>
              <w:jc w:val="center"/>
              <w:rPr>
                <w:rFonts w:ascii="Arial" w:cs="Arial" w:eastAsia="Arial" w:hAnsi="Arial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8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008000"/>
                <w:sz w:val="24"/>
                <w:szCs w:val="24"/>
                <w:rtl w:val="0"/>
              </w:rPr>
              <w:t xml:space="preserve">An Organization Of The Ministry Of Railways, Govt. Of India)</w:t>
            </w:r>
          </w:p>
        </w:tc>
      </w:tr>
    </w:tbl>
    <w:p w:rsidR="00000000" w:rsidDel="00000000" w:rsidP="00000000" w:rsidRDefault="00000000" w:rsidRPr="00000000" w14:paraId="00000009">
      <w:pPr>
        <w:tabs>
          <w:tab w:val="center" w:pos="4513"/>
          <w:tab w:val="right" w:pos="9026"/>
        </w:tabs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Mangal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